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86" w:rsidRPr="00E55E06" w:rsidRDefault="008D0386" w:rsidP="008D0386">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Лекция 15</w:t>
      </w:r>
    </w:p>
    <w:p w:rsidR="008D0386" w:rsidRPr="00E55E06" w:rsidRDefault="008D0386" w:rsidP="008D0386">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Неомарксизм.</w:t>
      </w:r>
    </w:p>
    <w:p w:rsidR="008D0386" w:rsidRPr="00E55E06" w:rsidRDefault="008D0386" w:rsidP="008D0386">
      <w:pPr>
        <w:pStyle w:val="a3"/>
        <w:numPr>
          <w:ilvl w:val="0"/>
          <w:numId w:val="2"/>
        </w:numPr>
        <w:spacing w:after="0" w:line="360" w:lineRule="auto"/>
        <w:rPr>
          <w:rFonts w:ascii="Times New Roman" w:hAnsi="Times New Roman"/>
          <w:bCs/>
          <w:sz w:val="28"/>
          <w:szCs w:val="28"/>
        </w:rPr>
      </w:pPr>
      <w:r w:rsidRPr="00E55E06">
        <w:rPr>
          <w:rFonts w:ascii="Times New Roman" w:hAnsi="Times New Roman"/>
          <w:bCs/>
          <w:sz w:val="28"/>
          <w:szCs w:val="28"/>
        </w:rPr>
        <w:t>Особенности неомарксизма Франкфуртской школы</w:t>
      </w:r>
      <w:r>
        <w:rPr>
          <w:rFonts w:ascii="Times New Roman" w:hAnsi="Times New Roman"/>
          <w:bCs/>
          <w:sz w:val="28"/>
          <w:szCs w:val="28"/>
        </w:rPr>
        <w:t>.</w:t>
      </w:r>
    </w:p>
    <w:p w:rsidR="008D0386" w:rsidRPr="00E55E06" w:rsidRDefault="008D0386" w:rsidP="008D0386">
      <w:pPr>
        <w:pStyle w:val="a3"/>
        <w:numPr>
          <w:ilvl w:val="0"/>
          <w:numId w:val="2"/>
        </w:numPr>
        <w:spacing w:after="0" w:line="360" w:lineRule="auto"/>
        <w:rPr>
          <w:rFonts w:ascii="Times New Roman" w:hAnsi="Times New Roman"/>
          <w:bCs/>
          <w:sz w:val="28"/>
          <w:szCs w:val="28"/>
        </w:rPr>
      </w:pPr>
      <w:r w:rsidRPr="00E55E06">
        <w:rPr>
          <w:rFonts w:ascii="Times New Roman" w:hAnsi="Times New Roman"/>
          <w:bCs/>
          <w:sz w:val="28"/>
          <w:szCs w:val="28"/>
        </w:rPr>
        <w:t>Последователи неомарксизма</w:t>
      </w:r>
      <w:r>
        <w:rPr>
          <w:rFonts w:ascii="Times New Roman" w:hAnsi="Times New Roman"/>
          <w:bCs/>
          <w:sz w:val="28"/>
          <w:szCs w:val="28"/>
        </w:rPr>
        <w:t>.</w:t>
      </w:r>
    </w:p>
    <w:p w:rsidR="008D0386" w:rsidRPr="00E55E06" w:rsidRDefault="008D0386" w:rsidP="008D0386">
      <w:pPr>
        <w:pStyle w:val="a3"/>
        <w:numPr>
          <w:ilvl w:val="0"/>
          <w:numId w:val="2"/>
        </w:numPr>
        <w:spacing w:after="0" w:line="360" w:lineRule="auto"/>
        <w:rPr>
          <w:rFonts w:ascii="Times New Roman" w:hAnsi="Times New Roman"/>
          <w:bCs/>
          <w:sz w:val="28"/>
          <w:szCs w:val="28"/>
        </w:rPr>
      </w:pPr>
      <w:r w:rsidRPr="00E55E06">
        <w:rPr>
          <w:rFonts w:ascii="Times New Roman" w:hAnsi="Times New Roman"/>
          <w:bCs/>
          <w:sz w:val="28"/>
          <w:szCs w:val="28"/>
        </w:rPr>
        <w:t>Американский неомарксизм</w:t>
      </w:r>
      <w:r>
        <w:rPr>
          <w:rFonts w:ascii="Times New Roman" w:hAnsi="Times New Roman"/>
          <w:bCs/>
          <w:sz w:val="28"/>
          <w:szCs w:val="28"/>
        </w:rPr>
        <w:t>.</w:t>
      </w:r>
    </w:p>
    <w:p w:rsidR="008D0386" w:rsidRPr="004A33C9" w:rsidRDefault="008D0386" w:rsidP="008D0386">
      <w:pPr>
        <w:spacing w:after="0" w:line="360" w:lineRule="auto"/>
        <w:ind w:firstLine="851"/>
        <w:jc w:val="both"/>
        <w:rPr>
          <w:rFonts w:ascii="Times New Roman" w:hAnsi="Times New Roman"/>
          <w:sz w:val="28"/>
          <w:szCs w:val="28"/>
        </w:rPr>
      </w:pPr>
      <w:r w:rsidRPr="004A33C9">
        <w:rPr>
          <w:rFonts w:ascii="Times New Roman" w:hAnsi="Times New Roman"/>
          <w:b/>
          <w:bCs/>
          <w:sz w:val="28"/>
          <w:szCs w:val="28"/>
        </w:rPr>
        <w:t>Неомарксизм</w:t>
      </w:r>
      <w:r w:rsidRPr="004A33C9">
        <w:rPr>
          <w:rFonts w:ascii="Times New Roman" w:hAnsi="Times New Roman"/>
          <w:sz w:val="28"/>
          <w:szCs w:val="28"/>
        </w:rPr>
        <w:t xml:space="preserve"> – совокупность марксистских и марксистски ориентировочных течений, характеризующихся критическим отношением, как капитализму, так и к «реальному социализму» и его «марксистско-ленинской» идеологии.</w:t>
      </w:r>
    </w:p>
    <w:p w:rsidR="008D0386" w:rsidRPr="004A33C9" w:rsidRDefault="008D0386" w:rsidP="008D0386">
      <w:pPr>
        <w:spacing w:line="360" w:lineRule="auto"/>
        <w:ind w:firstLine="851"/>
        <w:jc w:val="both"/>
        <w:rPr>
          <w:rFonts w:ascii="Times New Roman" w:hAnsi="Times New Roman"/>
          <w:sz w:val="28"/>
          <w:szCs w:val="28"/>
        </w:rPr>
      </w:pPr>
      <w:r w:rsidRPr="004A33C9">
        <w:rPr>
          <w:rFonts w:ascii="Times New Roman" w:hAnsi="Times New Roman"/>
          <w:sz w:val="28"/>
          <w:szCs w:val="28"/>
        </w:rPr>
        <w:t>Социальные взгляды К.Маркса и Ф.Энгельса оказали большое влияние на социологию и другие гуманитарные науки. Существует несколько направлений неомарксизма, которые развивают часть взглядов К.Маркса, решительно отвергая некоторые его установки. Основными возражениями последователей К.Маркса является их критика взглядов К.Маркса, составляющих экономический детерминизм и механицизм при объяснении социальной реальности.</w:t>
      </w:r>
    </w:p>
    <w:p w:rsidR="008D0386" w:rsidRPr="004A33C9" w:rsidRDefault="008D0386" w:rsidP="008D0386">
      <w:pPr>
        <w:spacing w:line="360" w:lineRule="auto"/>
        <w:ind w:firstLine="851"/>
        <w:jc w:val="both"/>
        <w:rPr>
          <w:rFonts w:ascii="Times New Roman" w:hAnsi="Times New Roman"/>
          <w:sz w:val="28"/>
          <w:szCs w:val="28"/>
        </w:rPr>
      </w:pPr>
      <w:r w:rsidRPr="004A33C9">
        <w:rPr>
          <w:rFonts w:ascii="Times New Roman" w:hAnsi="Times New Roman"/>
          <w:sz w:val="28"/>
          <w:szCs w:val="28"/>
        </w:rPr>
        <w:t>Неомарксизм с одной стороны развивает некоторые положения марксизма, наиболее актуальные с их точки зрения. С другой стороны критикует марксизм, прежде всего, за экономический детерминизм, механистическое объяснение общественных отношений. Его представители полагают, что марксисты преувеличили роль  экономических факторов в ущерб социальным, социокультурным и индивидуальным составляющим общественной жизни. Сторонники неомарксизма более активно изучают место и роль личности, культурной среды, а также процессы коммуникации и общения. Общество они считают в первую очередь не экономической системой, а системой коммуникативного действия.</w:t>
      </w:r>
    </w:p>
    <w:p w:rsidR="008D0386" w:rsidRPr="00E55E06" w:rsidRDefault="008D0386" w:rsidP="008D0386">
      <w:pPr>
        <w:pStyle w:val="a3"/>
        <w:numPr>
          <w:ilvl w:val="0"/>
          <w:numId w:val="1"/>
        </w:numPr>
        <w:spacing w:after="0" w:line="360" w:lineRule="auto"/>
        <w:rPr>
          <w:rFonts w:ascii="Times New Roman" w:hAnsi="Times New Roman"/>
          <w:b/>
          <w:sz w:val="28"/>
          <w:szCs w:val="28"/>
        </w:rPr>
      </w:pPr>
      <w:r w:rsidRPr="00E55E06">
        <w:rPr>
          <w:rFonts w:ascii="Times New Roman" w:hAnsi="Times New Roman"/>
          <w:b/>
          <w:sz w:val="28"/>
          <w:szCs w:val="28"/>
        </w:rPr>
        <w:t>Особенности неомарксизма Франкфуртской школы.</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Настоящим ядром «неомарксизма» - и в организационно-практическом и в идейно-практическом планах – явилась Франкфуртская </w:t>
      </w:r>
      <w:r w:rsidRPr="00E55E06">
        <w:rPr>
          <w:rFonts w:ascii="Times New Roman" w:hAnsi="Times New Roman"/>
          <w:sz w:val="28"/>
          <w:szCs w:val="28"/>
        </w:rPr>
        <w:lastRenderedPageBreak/>
        <w:t>школа, которая сложилась в конце 20 – начале 30-х годов на базе Института социальных исследований при университете во Франкфурте-на-Майне. В ее состав вошли М. Хоркхоркхаймер, Т.В. Адорно, Ф. Поллок, Г. Маркузе, Э. Фромм и др. После ВОВ, они продолжили свою работу в Институте, где вокруг них сформировалось новое поколение сторонников «неомарксизма» - А. Шмидт, Ю. Хабермас, А. Валмер и др. Различные варианты этого течения сложились и в других странах – Франции, Италии, США, Англии, Венгрии, Чехословакии и др. Среди «неомарксистов» наиболее популярны имена французов А. Лефевра и Ж.-П. Сартра, американского социолога Р. Миллса, итальянца Э. Пачи, польского ревизиониста Л. Колаковского, главы чешских ревизионистов К. Косика и др. Представителями данной школы был провозглашен курс, направленный на обновление марксизма - течение, ревизующее марксизм-ленинизм. Своего рода классикой «неомарксизма», является книга Г, Лукача «История и классовое сознание»(1923). Кроме данной книги в числе основополагающих «неомарксистских» трудов фигурирует работа К. Корша «Марксизм и философия» (Германия, 1923; М.-Л., 1924). Вышедшие примерно в одно и тоже время, эти книги стали основополагающими для «неомарксизма».</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Франкфуртская школа сыграла очень большую – в некоторых отношениях решающую роль, в разработке и распространении «неомарксистского» комплекса идей, чему способствовал отчетливо выраженный «институционный» характер школы, наличие институтов в качестве базы, журналов, ряда регулярно издаваемых «серий» теоретических работ, единство общей концепции и тд. «Неомарксисты» Франкфуртской школы имели едва ли не самые прочные позиции, позволившие им оказать более глубокое воздействие на социально-философскую и литературно-художественную жизнь Западной Германии, чем это удалось их коллегам в других странах.</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Идеологи Франкфуртской школы противопоставляют свою теорию подлинного марксизма -  советскому марксизму-ленинизму (который, по их </w:t>
      </w:r>
      <w:r w:rsidRPr="00E55E06">
        <w:rPr>
          <w:rFonts w:ascii="Times New Roman" w:hAnsi="Times New Roman"/>
          <w:sz w:val="28"/>
          <w:szCs w:val="28"/>
        </w:rPr>
        <w:lastRenderedPageBreak/>
        <w:t>мнению, не соответствовал нашему времени, не способен был дать «критику развитого индустриального общества» и придерживался ряда «устаревших догм»).</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Первое, что предлагают сделать «неомарксисты» - это отказаться от положения марксизма о всемирно-исторической роли пролетариата в качестве субъекта социалистической революции и могильщика капитализма. Это суждение Маркузе обосновывает тем, что важнейшей особенностью высокоразвитого индустриального общества является восполнение рабочим классом этого общества, в результате манипулирования потребностями и сознанием рабочих масс со стороны господствующих классов. Маркузе выдвинул понятие «одномерного человека» («Одномерный человек», Очерки по идеологии развитого индустриального общества - книги, где наиболее последовательно и четко были изложены идеи Маркузе) - личности, ориентирующейся на деформированные современным капитализмом потребности, конформиста, утратившего критическое отношение к действительности. При господстве «одномерного сознания» «одномерный человек» этого общества не способен ни выработать, ни даже воспринять то революционное социалистическое сознание, которое, согласно, марксизма-ленинизма, является непременным условием и предпосылкой пролетарской социалистической революции.</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Второе – субъектом революции могут стать лишь те, кто еще не стал рабом «одномерного сознания». К ним они относили расовые, национальные и религиозные меньшинства США; критически мыслящую интеллигенцию и студенчество капиталистических стран; отсталые и нищие народные массы «третьего мира».</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В-третьих, в соответствие с суждением Маркузе, социальной революции должны предшествовать «революция человека» (его великий отказ участвовать в игре капиталистического потребительского общества, отказ признавать своими те потребности, которые индустриальное общество навязывает всем), отказ от «одномерного сознания», которое навязывается </w:t>
      </w:r>
      <w:r w:rsidRPr="00E55E06">
        <w:rPr>
          <w:rFonts w:ascii="Times New Roman" w:hAnsi="Times New Roman"/>
          <w:sz w:val="28"/>
          <w:szCs w:val="28"/>
        </w:rPr>
        <w:lastRenderedPageBreak/>
        <w:t>каждому средствами массовой информации, от тех норм господствующей морали, которые интегрируют людей в это общество и, наконец, индивидуальный бунт каждого, кто с помощью понимания подлинного марксизма разгадал коварный, прикрываемый демократическими правилами игры механизм буржуазного господства.</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Данные основные идеи, сформулированные особенно четко Г. Маркузе, получили философское и социологическое обоснование в трудах и других теоретиков Франкфуртской школы, которые также утверждали, о извечности непреодолимости противоположности между первично свободным самосознанием индивида и навязанными ему формами общественного сознания, в которых протекает реальное существование его «я». Одним словом, противоположность между человеком и обществом выводится из противоположности между свободным самосознанием «я» и навязанным этому «я» общественным сознанием.</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Неомарксисты утверждали, что нашли единственно эффективный – третий путь, между эталитаризмом, потребительским западным обществом и реально существующим социализмом. Для этого, по их мнению, надо покончить с увеличением эталитаризма и больше заниматься морально-политическим просвещением масс в духе идей «неомарксизма». Третий путь неомарксистов, по существу сводится к своего рода моральной и культурной революции, которая упразднила бы разложившуюся идеалистическую систему либерализма и заменила  бы ее новой культурно-идеологической надстройкой со здоровой жизнеутверждающей этикой. Такая революция дала бы, на их взгляд, западному обществу новое дыхание. Идеализм подобных соображений предполагал моральное обновление на базе системы производственных отношений, основанных на частной собственности.</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Также неомарксисты предполагали, усилить миссионерскую роль католической церкви, для морального и духовного возрождения, в результате чего, должна возродиться сила раннего христианства и западно-европейские народы вновь поднимутся на духовную высоту. В том числе, одной из своих </w:t>
      </w:r>
      <w:r w:rsidRPr="00E55E06">
        <w:rPr>
          <w:rFonts w:ascii="Times New Roman" w:hAnsi="Times New Roman"/>
          <w:sz w:val="28"/>
          <w:szCs w:val="28"/>
        </w:rPr>
        <w:lastRenderedPageBreak/>
        <w:t>идей они выдвигали учение о «культурной борьбе» или «культурной войне», утверждая, что издревле существует культурная модель общества, которая, начиная с эпохи раннего христианства, уступала место нынешней идеологии, но сейчас эта модель в возрожденном виде, призвана вновь занять свое место в мире.</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Неомарксисты призывают народы «не отрезать  себя от всеобщего», «повышать богатство человека», «углублять свои собственный гений» и тп.</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Развивая свои идеи, неомарксисты пошли по пути социологической редукции и критики всех без исключения общефилософских категорий, включая понятия и законы формальной логики. Философские, общенаучные, формально-логические и т</w:t>
      </w:r>
      <w:r>
        <w:rPr>
          <w:rFonts w:ascii="Times New Roman" w:hAnsi="Times New Roman"/>
          <w:sz w:val="28"/>
          <w:szCs w:val="28"/>
        </w:rPr>
        <w:t>.</w:t>
      </w:r>
      <w:r w:rsidRPr="00E55E06">
        <w:rPr>
          <w:rFonts w:ascii="Times New Roman" w:hAnsi="Times New Roman"/>
          <w:sz w:val="28"/>
          <w:szCs w:val="28"/>
        </w:rPr>
        <w:t>д. понятия, рассматривались ими, как отражение устремления общественных сил, живущих за счет подавления бессознательных влечений индивидов. Они пересматривают противоположность между такими философскими понятиями, как «власть», «авторитет». Во все времена и повсюду, заявляют они, существовала и будет существовать некая «воля к власти» (монархия, диктатура…) и она использует такие орудия подчинения, как господство, язык, философия. Существуют и объекты ее насилия – разного рода люмпены, анархиствующие личности, интеллектуальные дезертиры, в том числе сумасшедшие преступники.</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Также неомарксисты пришли к выводу, что вся история человеческой культуры была историей усугубляющегося «сумасшествия» человечества, начавшегося в тот момент, когда индивидуальность противопоставила себя общине. Расколовшееся таким образом общество, противопоставило себя природе, а каждый человеческий индивид начал противопоставлять свое духовное Я собственным телесным влечениям. Так в «Диалектике просвещения» М. Хоркхаймер и Т. В. Адорно, произошел раскол на субъект и объект «Я» и «не-Я», рациональное и иррациональное, сознательное и бессознательное. Линия этого раскола прошла как через каждую личность, так и через всю человеческую культуру, приведя к раздвоению личности и </w:t>
      </w:r>
      <w:r w:rsidRPr="00E55E06">
        <w:rPr>
          <w:rFonts w:ascii="Times New Roman" w:hAnsi="Times New Roman"/>
          <w:sz w:val="28"/>
          <w:szCs w:val="28"/>
        </w:rPr>
        <w:lastRenderedPageBreak/>
        <w:t>культуры, то есть к психическому заболеванию, своего рода шизофрении. Финалом же этой болезни явился результат, в свете которого раскрылась тайна всей европейской истории, европейской культуры. Таким образом, согласно неомарксистам, история является процессом усугубляющегося безумия – торжеством «помраченного разума».</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По мнению неомарксистов, в основе всех исходных, изначальных философских понятий теории познания, лежит механизм овеществления, фетишизации результата всякой человеческой деятельности, в том числе мыслительной и познавательной. Другими словами, то, что философы начиная с античности, принимали и до сих пор принимают за «абсолютное первое», «изначально данное» и тп., всегда раскрывается при правильном подходе, как результат социально обусловленного «овеществления» и связанной с ним «фетишизации». </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К концу 40-х годов, можно сказать, завершается первый период истории Франкфуртской школы и ее «критической теории». В 1953 г. ректором Франкфуртского университета был избран Хоркхаймер, а Адорно возглавил Институт социальных исследований при этом университете. Под руководством Хоркхаймера, Адорно, Поллока начинается складываться второе поколение Франкфуртской школы. В это время в условиях запрета КПГ и преследований любых проявлений марксизма-ленинизма в ФРГ идеи Франкфуртской школы вышли за пределы Института социальных исследований и стали идеологией складывающегося левого студенческого движения.</w:t>
      </w:r>
    </w:p>
    <w:p w:rsidR="008D0386" w:rsidRPr="00E55E06" w:rsidRDefault="008D0386" w:rsidP="008D0386">
      <w:pPr>
        <w:pStyle w:val="a4"/>
        <w:spacing w:after="0" w:line="360" w:lineRule="auto"/>
        <w:ind w:firstLine="851"/>
        <w:jc w:val="both"/>
        <w:rPr>
          <w:rFonts w:ascii="Times New Roman" w:hAnsi="Times New Roman"/>
          <w:b/>
          <w:sz w:val="28"/>
          <w:szCs w:val="28"/>
        </w:rPr>
      </w:pPr>
      <w:r w:rsidRPr="00E55E06">
        <w:rPr>
          <w:rFonts w:ascii="Times New Roman" w:hAnsi="Times New Roman"/>
          <w:b/>
          <w:sz w:val="28"/>
          <w:szCs w:val="28"/>
        </w:rPr>
        <w:t>2.Последователи неомарксизма.</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Среди учеников Хоркхаймкра и Адорно прежде всего следует отметить Альфреда Шмидта, завершившего в 1957-1960 гг. под их руководством докторскую диссертацию «Понятие природы в учении Маркса». А. Шмидт пытался дать свою интерпретацию работ молодого Маркса, используя опубликованные в 1953 г. в ГДР подготовительные к «Капиталу» рукописи Маркса 1857-1859 гг. Однако под влиянием работ </w:t>
      </w:r>
      <w:r w:rsidRPr="00E55E06">
        <w:rPr>
          <w:rFonts w:ascii="Times New Roman" w:hAnsi="Times New Roman"/>
          <w:sz w:val="28"/>
          <w:szCs w:val="28"/>
        </w:rPr>
        <w:lastRenderedPageBreak/>
        <w:t xml:space="preserve">Корша, Мерло-Понти и Сартра, он вернулся на традиционные, характерные для Франкфуртской школе позиции интерпретации философии Маркса. К началу 70-х годов А. Шмидт, теперь уже профессор философии Франкфуртского университета, специализируется на критике философии Марксизма-ленинизма, став таким образом, своего рода продолжателем «неомарксистской» теории Франкфуртской школы. </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В 60-е годы Франкфуртская школа приобретает еще большее влияние, которое в большей степени зависит от прокатившейся в этот период общедемократической волны, по наиболее развитым странам Запада. К середине 60-х годов, «неомарксистское» движение сформировалось в США – как движение за гражданские права и против воины во Вьетнаме, во Франции – против голлизма и за университетскую реформу, в ФРГ – против чрезвычайных законов и за коренную перестройку всей системы образования. И везде крайнюю тенденцию этих движений представляли «новые левые» экстремисты, идеологически осмыслившие свою позицию с помощью той или иной версии «неомарксизма».</w:t>
      </w:r>
    </w:p>
    <w:p w:rsidR="008D0386" w:rsidRPr="00E55E06" w:rsidRDefault="008D0386" w:rsidP="008D0386">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«Неомарксизм», представший в качестве современной формы новорадикального сознания, акцентировал в культуре Запада целый ряд новых мировоззренческих установок и ценностных комплексов, которые способствовали окончательному формированию важных идеологических </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В отличие от «франкфуртской» версии «неомарксизма», иные его варианты развивающиеся в других странах, не были столь жестко «институционализированны» и не получили такого систематического истолкования, которое обеспечивала Франкфуртская школа.</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Что касается американского «неомарксизма», то ему не удалось достичь такой степени институционализации, какой достигла Франкфуртская школа, Он существовал, как направление развития современной американской общественной жизни.</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Одной из наиболее характерных черт американского «неомарксизма», является его четко выраженная социологическая окраска. Этому в немалой степени способствовали Ч. Р. Миллз, А. В. Гаулднер, Л. Левенталь и др.</w:t>
      </w:r>
    </w:p>
    <w:p w:rsidR="008D0386" w:rsidRPr="00E55E06" w:rsidRDefault="008D0386" w:rsidP="008D0386">
      <w:pPr>
        <w:pStyle w:val="a4"/>
        <w:spacing w:after="0" w:line="360" w:lineRule="auto"/>
        <w:ind w:firstLine="851"/>
        <w:jc w:val="both"/>
        <w:rPr>
          <w:rFonts w:ascii="Times New Roman" w:hAnsi="Times New Roman"/>
          <w:b/>
          <w:sz w:val="28"/>
          <w:szCs w:val="28"/>
        </w:rPr>
      </w:pPr>
      <w:r w:rsidRPr="00E55E06">
        <w:rPr>
          <w:rFonts w:ascii="Times New Roman" w:hAnsi="Times New Roman"/>
          <w:b/>
          <w:sz w:val="28"/>
          <w:szCs w:val="28"/>
        </w:rPr>
        <w:t>3.Американский неомарксизм.</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Американский «неомарксизм» уделяет серьезное внимание проблематике социологии культуры. Об этом свидетельствуют работы едва ли не всех виднейших его представителей. Сюда относится одна из наиболее известных работ Ч. Р. Миллса – «Социологическое воображение», которая представляет собой нечто вроде интеллектуального завещания автора молодым социальным исследователям. В ней содержится не только критический анализ основных направлений в социологической науке, а также позиции Миллса по основным проблемам общественного развития, формируется ряд наиболее важных, по его мнению задач, стоящих как пред обществом в целом, так и перед социальными науками и в первую очередь перед социологией.</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 центре социологической теории Миллса – социальная структура. Социальную структуру он рассматривает как «наиболее содержательную рабочую единицу, с которой имеет дело социальные исследователи».  </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Отсюда вытекает и наиболее широкая цель стоящая, по мнению Миллса, перед социологами – раскрыть каждую из множества социальных структур в ее компонентах и целостности.</w:t>
      </w:r>
    </w:p>
    <w:p w:rsidR="008D0386" w:rsidRPr="00E55E06" w:rsidRDefault="008D0386" w:rsidP="008D0386">
      <w:pPr>
        <w:pStyle w:val="a4"/>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Другое важнейшие понятие миллсовской социальной теории – «нация-государство». «Нация-государство», согласно Миллсу, в данное время является господствующей формой мировой истории; именно «нации-государства» формируют, в разной степени и в разных формах, «цивилизации» и континенты мира, стадии их развития и степень их роста – основные проблемы мировой истории. Именно в рамках той или иной «нации-государства» сегодня организованы политические и военные, экономические и – что особенно существенно – культурные институты. </w:t>
      </w:r>
    </w:p>
    <w:p w:rsidR="008D0386" w:rsidRPr="00E55E06" w:rsidRDefault="008D0386" w:rsidP="008D0386">
      <w:pPr>
        <w:spacing w:after="0" w:line="360" w:lineRule="auto"/>
        <w:ind w:right="-1" w:firstLine="851"/>
        <w:jc w:val="both"/>
        <w:rPr>
          <w:rFonts w:ascii="Times New Roman" w:hAnsi="Times New Roman"/>
          <w:b/>
          <w:sz w:val="28"/>
          <w:szCs w:val="28"/>
        </w:rPr>
      </w:pPr>
      <w:r w:rsidRPr="00E55E06">
        <w:rPr>
          <w:rFonts w:ascii="Times New Roman" w:hAnsi="Times New Roman"/>
          <w:sz w:val="28"/>
          <w:szCs w:val="28"/>
        </w:rPr>
        <w:lastRenderedPageBreak/>
        <w:t xml:space="preserve">«Неомарксизм» обнаружил себя, как широкое течение современной буржуазной мысли своего времени, вполне сравнимое по своему влиянию с таким мировоззренческими ориентациями, как религиозная философия (неотомизм,  диалектическая теология и тд.) или позитивизм и неопозитивизм. «Неомарксизм» обнаружил явное преимущество перед иными течениями современной западной философии того времени, с одной стороны, и социологии с другой, тем, что он выступил как попытка объединения общемировоззренческих и общесоциологических понятий – причем явно оказавшегося «в духе времени» в середине </w:t>
      </w:r>
      <w:r w:rsidRPr="00E55E06">
        <w:rPr>
          <w:rFonts w:ascii="Times New Roman" w:hAnsi="Times New Roman"/>
          <w:sz w:val="28"/>
          <w:szCs w:val="28"/>
          <w:lang w:val="en-US"/>
        </w:rPr>
        <w:t>XX</w:t>
      </w:r>
      <w:r w:rsidRPr="00E55E06">
        <w:rPr>
          <w:rFonts w:ascii="Times New Roman" w:hAnsi="Times New Roman"/>
          <w:sz w:val="28"/>
          <w:szCs w:val="28"/>
        </w:rPr>
        <w:t xml:space="preserve"> столетия. «Неомарксизм» в качестве своей основной темы, выдвинул проблематику социальной философии и социального анализа культуры (науки, искусства и тд.), крайне остро встававшую на Западе с конца 50-х годов. В основе же его идей(первоначально, а затем в измененных формах) в основном лежала критика социализма, которая сводилась к тому, что социалистическое государство, опирающиеся на «молчаливое» большинство, обладает огромной изощренной машиной духовного и физического подавления.</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D34EF"/>
    <w:multiLevelType w:val="hybridMultilevel"/>
    <w:tmpl w:val="3F4817F4"/>
    <w:lvl w:ilvl="0" w:tplc="BA12D3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1320F01"/>
    <w:multiLevelType w:val="hybridMultilevel"/>
    <w:tmpl w:val="E1EE0E7C"/>
    <w:lvl w:ilvl="0" w:tplc="7360AF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0386"/>
    <w:rsid w:val="00203E43"/>
    <w:rsid w:val="003B4F83"/>
    <w:rsid w:val="00426B15"/>
    <w:rsid w:val="006330EC"/>
    <w:rsid w:val="0063688D"/>
    <w:rsid w:val="006B1FB8"/>
    <w:rsid w:val="00745DDF"/>
    <w:rsid w:val="008C10AD"/>
    <w:rsid w:val="008D0386"/>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386"/>
    <w:pPr>
      <w:ind w:left="720"/>
      <w:contextualSpacing/>
    </w:pPr>
  </w:style>
  <w:style w:type="paragraph" w:styleId="a4">
    <w:name w:val="Body Text"/>
    <w:basedOn w:val="a"/>
    <w:link w:val="a5"/>
    <w:uiPriority w:val="99"/>
    <w:semiHidden/>
    <w:unhideWhenUsed/>
    <w:rsid w:val="008D0386"/>
    <w:pPr>
      <w:spacing w:after="120"/>
    </w:pPr>
  </w:style>
  <w:style w:type="character" w:customStyle="1" w:styleId="a5">
    <w:name w:val="Основной текст Знак"/>
    <w:basedOn w:val="a0"/>
    <w:link w:val="a4"/>
    <w:uiPriority w:val="99"/>
    <w:semiHidden/>
    <w:rsid w:val="008D038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2345</Words>
  <Characters>13369</Characters>
  <Application>Microsoft Office Word</Application>
  <DocSecurity>0</DocSecurity>
  <Lines>111</Lines>
  <Paragraphs>31</Paragraphs>
  <ScaleCrop>false</ScaleCrop>
  <Company>Microsoft</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2014-05-19T00:08:00Z</dcterms:created>
  <dcterms:modified xsi:type="dcterms:W3CDTF">2014-05-19T00:08:00Z</dcterms:modified>
</cp:coreProperties>
</file>