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C4" w:rsidRDefault="00DA42C4" w:rsidP="00DA42C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2C4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 3</w:t>
      </w:r>
    </w:p>
    <w:p w:rsidR="00DA42C4" w:rsidRPr="00DA42C4" w:rsidRDefault="00DA42C4" w:rsidP="00DA42C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4" w:rsidRDefault="00DA42C4" w:rsidP="00DA42C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2C4">
        <w:rPr>
          <w:rFonts w:ascii="Times New Roman" w:hAnsi="Times New Roman" w:cs="Times New Roman"/>
          <w:b/>
          <w:bCs/>
          <w:sz w:val="28"/>
          <w:szCs w:val="28"/>
        </w:rPr>
        <w:t>Определение порога коагуляции</w:t>
      </w:r>
    </w:p>
    <w:p w:rsidR="00DA42C4" w:rsidRPr="00DA42C4" w:rsidRDefault="00DA42C4" w:rsidP="00DA42C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2C4" w:rsidRDefault="00DA42C4" w:rsidP="00DA42C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A42C4">
        <w:rPr>
          <w:rFonts w:ascii="Times New Roman" w:hAnsi="Times New Roman" w:cs="Times New Roman"/>
          <w:sz w:val="28"/>
          <w:szCs w:val="28"/>
          <w:u w:val="single"/>
        </w:rPr>
        <w:t>Цель работы:</w:t>
      </w:r>
      <w:r w:rsidRPr="00DA42C4">
        <w:rPr>
          <w:rFonts w:ascii="Times New Roman" w:hAnsi="Times New Roman" w:cs="Times New Roman"/>
          <w:sz w:val="28"/>
          <w:szCs w:val="28"/>
        </w:rPr>
        <w:t xml:space="preserve"> определение порога коагуляции золей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>электролитами.</w:t>
      </w:r>
    </w:p>
    <w:p w:rsid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i/>
          <w:iCs/>
          <w:sz w:val="28"/>
          <w:szCs w:val="28"/>
        </w:rPr>
      </w:pP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>Основные определения</w:t>
      </w:r>
    </w:p>
    <w:p w:rsid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В начале ХХ века было установлено, что любое вещество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быть получено в виде коллоида и, следовательно, нужно говорить не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коллоидных веществах, а о коллоидном состоянии как о всеобщем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особом состоянии материи (это было сформулировано впервые П.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Веймарном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).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 xml:space="preserve">Согласно определению, данному П. А. </w:t>
      </w:r>
      <w:proofErr w:type="spellStart"/>
      <w:proofErr w:type="gramStart"/>
      <w:r w:rsidRPr="00FB05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05F2">
        <w:rPr>
          <w:rFonts w:ascii="Times New Roman" w:hAnsi="Times New Roman" w:cs="Times New Roman"/>
          <w:sz w:val="28"/>
          <w:szCs w:val="28"/>
        </w:rPr>
        <w:t>éбиндером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, коллоидная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 xml:space="preserve">химия - это </w:t>
      </w:r>
      <w:proofErr w:type="spellStart"/>
      <w:proofErr w:type="gramStart"/>
      <w:r w:rsidRPr="00FB05F2">
        <w:rPr>
          <w:rFonts w:ascii="Times New Roman" w:hAnsi="Times New Roman" w:cs="Times New Roman"/>
          <w:sz w:val="28"/>
          <w:szCs w:val="28"/>
        </w:rPr>
        <w:t>физико-химия</w:t>
      </w:r>
      <w:proofErr w:type="spellEnd"/>
      <w:proofErr w:type="gramEnd"/>
      <w:r w:rsidRPr="00FB05F2">
        <w:rPr>
          <w:rFonts w:ascii="Times New Roman" w:hAnsi="Times New Roman" w:cs="Times New Roman"/>
          <w:sz w:val="28"/>
          <w:szCs w:val="28"/>
        </w:rPr>
        <w:t xml:space="preserve"> дисперсных систем и поверхностных явлений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в этих системах.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Фаза </w:t>
      </w:r>
      <w:r w:rsidRPr="00FB05F2">
        <w:rPr>
          <w:rFonts w:ascii="Times New Roman" w:hAnsi="Times New Roman" w:cs="Times New Roman"/>
          <w:sz w:val="28"/>
          <w:szCs w:val="28"/>
        </w:rPr>
        <w:t>- Часть системы одного состава, имеющая одинаковые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физические свойства, ограниченная от других частей поверхностью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раздела. Систему, состоящую из одной фазы, а, следовательно, имеющую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одинаковые макроскопические свойства во всех ее точках,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гомогенной. 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Дисперсность </w:t>
      </w:r>
      <w:r w:rsidRPr="00FB05F2">
        <w:rPr>
          <w:rFonts w:ascii="Times New Roman" w:hAnsi="Times New Roman" w:cs="Times New Roman"/>
          <w:sz w:val="28"/>
          <w:szCs w:val="28"/>
        </w:rPr>
        <w:t>- Коллоидное состояние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определенной дисперсностью (раздробленностью) вещества. Вещество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этом состоянии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диспергировано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 до очень малых частиц или пронизано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мельчайшими порами. Эти частицы и поры невидимы в оптическом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микроскопе, но превышают по размерам обычные молекулы.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раздробленное вещество находится всегда в какой-либо среде,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его нельзя рассматривать в отрыве от этой среды.</w:t>
      </w:r>
    </w:p>
    <w:p w:rsid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FB05F2">
        <w:rPr>
          <w:rFonts w:ascii="Times New Roman" w:hAnsi="Times New Roman" w:cs="Times New Roman"/>
          <w:sz w:val="28"/>
          <w:szCs w:val="28"/>
        </w:rPr>
        <w:t>оллоидные системы состоят из двух (или более)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фаз: дисперсной фазы (совокупность частиц или пор) и дисперсионной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среды, т. е. </w:t>
      </w:r>
      <w:proofErr w:type="gramStart"/>
      <w:r w:rsidRPr="00FB05F2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FB05F2">
        <w:rPr>
          <w:rFonts w:ascii="Times New Roman" w:hAnsi="Times New Roman" w:cs="Times New Roman"/>
          <w:sz w:val="28"/>
          <w:szCs w:val="28"/>
        </w:rPr>
        <w:t xml:space="preserve"> являются гетерогенными системами.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коллоиды - это не вещества, а гетерогенные системы, содержащие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вещества в высокодисперсном состоянии.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Устойчивость и коагуляция коллоидных </w:t>
      </w:r>
      <w:r>
        <w:rPr>
          <w:rFonts w:ascii="Times New Roman" w:hAnsi="Times New Roman" w:cs="Times New Roman"/>
          <w:i/>
          <w:iCs/>
          <w:sz w:val="28"/>
          <w:szCs w:val="28"/>
        </w:rPr>
        <w:t>систем</w:t>
      </w:r>
    </w:p>
    <w:p w:rsid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Степень раздробления частиц дисперсной фазы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существенное влияние на свойства дисперсных систем. Однако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свойства определяются не только размером частиц, большое влияние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оказывают сама поверхность раздела между составляющими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фазами и явления на границе частица - среда.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FB05F2">
        <w:rPr>
          <w:rFonts w:ascii="Times New Roman" w:hAnsi="Times New Roman" w:cs="Times New Roman"/>
          <w:sz w:val="28"/>
          <w:szCs w:val="28"/>
        </w:rPr>
        <w:t xml:space="preserve">юбая коллоидная система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термодинамически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неустойчива, в ней возможны самопроизвольные процессы, приводящие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уменьшению поверхностного натяжения и суммарной 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раздела.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Под устойчивостью дисперсной системы понимают 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дисперсной фазы сохранять состояние равномерного распределения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дисперсионной среде. Н. П. Песков ввел понятия об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агрегативной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молекулярно-кинетической устойчивости. Коллоидные системы обладают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высокой кинетической устойчивостью. Нарушение их устойчивости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происходит, главным образом, вследствие слипания частиц. Слипшиеся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частицы образуют рыхлые агрегаты неправильной формы.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образования таких агрегатов носит название коагуляции. Коагуляция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может наступить при действии на коллоидную систему таких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по своей природе факторов, как длительный диализ (очистка золей),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добавление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неэлектролитов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, действие света, встряхивания, но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важным фактором для коагуляции гидрофобных золей является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электролитов. Коагулирующей частью электролита служит один из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ионов. Коагуляция золей начинается при концентрациях электролитов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выше некоторой критической, называемой </w:t>
      </w: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порогом коагуляции </w:t>
      </w:r>
      <w:r w:rsidRPr="00FB05F2">
        <w:rPr>
          <w:rFonts w:ascii="Times New Roman" w:hAnsi="Times New Roman" w:cs="Times New Roman"/>
          <w:sz w:val="28"/>
          <w:szCs w:val="28"/>
        </w:rPr>
        <w:t>(обычно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выражается в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/л или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мг-экв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/л).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 xml:space="preserve">Согласно правилу Шульце - Гарди (правило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значности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),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коагуляции золя электролитами коагулирующий ион имеет заряд,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противоположный заряду коллоидной частицы; а порог коагуляции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этом тем меньше, чем выше валентность коагулирующего иона.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Устойчивость золя при концентрации электролита ниже порога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коагуляции обусловлена наличием высокого потенциального барьера,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препятствующего сближению коллоидных частиц,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которого связано с взаимодействием двойных электрических слоев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сближающихся частиц. Увеличение концентрации электролитов 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порога коагуляции ведет к сжатию двойного электрического слоя,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понижению энергетического барьера, препятствующего слипанию частиц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при их столкновении, и началу коагуляции.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К особым явлениям, наблюдающимся при коагуляции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электролитами, относятся: так называемое явление неправильных рядов,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антагонизм и синергизм ионов при коагуляции, коллоидная защита.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Явление неправильных рядов </w:t>
      </w:r>
      <w:r w:rsidRPr="00FB05F2">
        <w:rPr>
          <w:rFonts w:ascii="Times New Roman" w:hAnsi="Times New Roman" w:cs="Times New Roman"/>
          <w:sz w:val="28"/>
          <w:szCs w:val="28"/>
        </w:rPr>
        <w:t>- это явление наблюдается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введении в коллоидные системы электролитов, содержащих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многовалентные ионы с зарядом, противоположным заряду частицы.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заключается в том, что при добавлении к отдельным порциям золя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различных, все возрастающих количеств электролитов, золь сначала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остается устойчивым, затем в определенном интервале концентраций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происходит коагуляция, далее золь </w:t>
      </w:r>
      <w:r w:rsidRPr="00FB05F2">
        <w:rPr>
          <w:rFonts w:ascii="Times New Roman" w:hAnsi="Times New Roman" w:cs="Times New Roman"/>
          <w:sz w:val="28"/>
          <w:szCs w:val="28"/>
        </w:rPr>
        <w:lastRenderedPageBreak/>
        <w:t>снова становится устойчивым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наконец, при высоком содержании электролита опять наступает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коагуляция, уже окончательная.</w:t>
      </w:r>
    </w:p>
    <w:p w:rsidR="00FB05F2" w:rsidRPr="00FB05F2" w:rsidRDefault="00FB05F2" w:rsidP="00836EDA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>Совместное действие электролитов</w:t>
      </w:r>
      <w:r w:rsidRPr="00FB05F2">
        <w:rPr>
          <w:rFonts w:ascii="Times New Roman" w:hAnsi="Times New Roman" w:cs="Times New Roman"/>
          <w:sz w:val="28"/>
          <w:szCs w:val="28"/>
        </w:rPr>
        <w:t>. При совместном 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коагулирующих ионов могут наблюдаться три эффекта: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аддитивность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действия, антагонизм и синергизм. </w:t>
      </w:r>
      <w:proofErr w:type="spellStart"/>
      <w:r w:rsidRPr="00FB05F2">
        <w:rPr>
          <w:rFonts w:ascii="Times New Roman" w:hAnsi="Times New Roman" w:cs="Times New Roman"/>
          <w:i/>
          <w:iCs/>
          <w:sz w:val="28"/>
          <w:szCs w:val="28"/>
        </w:rPr>
        <w:t>Аддитивность</w:t>
      </w:r>
      <w:proofErr w:type="spellEnd"/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обычно проявляют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ионы одинакового заряда и близкие по свойствам (например, K+ и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Na+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Cl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Br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-). </w:t>
      </w:r>
    </w:p>
    <w:p w:rsidR="00FB05F2" w:rsidRPr="00FB05F2" w:rsidRDefault="00FB05F2" w:rsidP="00836EDA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 xml:space="preserve">При </w:t>
      </w: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антагонизме 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действия электролитов сумма C1 / </w:t>
      </w:r>
      <w:r w:rsidRPr="00FB05F2">
        <w:rPr>
          <w:rFonts w:ascii="Times New Roman" w:eastAsia="SymbolMT" w:hAnsi="Times New Roman" w:cs="Times New Roman"/>
          <w:sz w:val="28"/>
          <w:szCs w:val="28"/>
        </w:rPr>
        <w:t>γ</w:t>
      </w:r>
      <w:r w:rsidRPr="00FB05F2">
        <w:rPr>
          <w:rFonts w:ascii="Times New Roman" w:hAnsi="Times New Roman" w:cs="Times New Roman"/>
          <w:sz w:val="28"/>
          <w:szCs w:val="28"/>
        </w:rPr>
        <w:t xml:space="preserve">1 + C2 / </w:t>
      </w:r>
      <w:r w:rsidRPr="00FB05F2">
        <w:rPr>
          <w:rFonts w:ascii="Times New Roman" w:eastAsia="SymbolMT" w:hAnsi="Times New Roman" w:cs="Times New Roman"/>
          <w:sz w:val="28"/>
          <w:szCs w:val="28"/>
        </w:rPr>
        <w:t>γ</w:t>
      </w:r>
      <w:r w:rsidRPr="00FB05F2">
        <w:rPr>
          <w:rFonts w:ascii="Times New Roman" w:hAnsi="Times New Roman" w:cs="Times New Roman"/>
          <w:sz w:val="28"/>
          <w:szCs w:val="28"/>
        </w:rPr>
        <w:t>2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 xml:space="preserve">оказывается больше, чем в случае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аддитивности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. Иногда явление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антагонизма проявляется в такой мере, что в коагулирующей смеси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содержание каждого электролита может значительно превышать его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собственную пороговую концентрацию. Антагонизм объясняется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изменением термодинамической активности ионов при смешении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электролитов, взаимодействием между ними с образованием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комплексных ионов и адсорбционными </w:t>
      </w:r>
      <w:r w:rsidR="00836EDA">
        <w:rPr>
          <w:rFonts w:ascii="Times New Roman" w:hAnsi="Times New Roman" w:cs="Times New Roman"/>
          <w:sz w:val="28"/>
          <w:szCs w:val="28"/>
        </w:rPr>
        <w:t>эффектами. Антагонизм наблю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дается при коагуляции золей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AgI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 смесями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>(NO</w:t>
      </w:r>
      <w:r w:rsidRPr="00836E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05F2">
        <w:rPr>
          <w:rFonts w:ascii="Times New Roman" w:hAnsi="Times New Roman" w:cs="Times New Roman"/>
          <w:sz w:val="28"/>
          <w:szCs w:val="28"/>
        </w:rPr>
        <w:t>)</w:t>
      </w:r>
      <w:r w:rsidRPr="00836ED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B05F2">
        <w:rPr>
          <w:rFonts w:ascii="Times New Roman" w:hAnsi="Times New Roman" w:cs="Times New Roman"/>
          <w:sz w:val="28"/>
          <w:szCs w:val="28"/>
        </w:rPr>
        <w:t xml:space="preserve"> и K</w:t>
      </w:r>
      <w:r w:rsidRPr="00836ED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B05F2">
        <w:rPr>
          <w:rFonts w:ascii="Times New Roman" w:hAnsi="Times New Roman" w:cs="Times New Roman"/>
          <w:sz w:val="28"/>
          <w:szCs w:val="28"/>
        </w:rPr>
        <w:t>SO</w:t>
      </w:r>
      <w:r w:rsidRPr="00836ED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B05F2">
        <w:rPr>
          <w:rFonts w:ascii="Times New Roman" w:hAnsi="Times New Roman" w:cs="Times New Roman"/>
          <w:sz w:val="28"/>
          <w:szCs w:val="28"/>
        </w:rPr>
        <w:t>.</w:t>
      </w:r>
    </w:p>
    <w:p w:rsidR="00FB05F2" w:rsidRPr="00FB05F2" w:rsidRDefault="00FB05F2" w:rsidP="00836EDA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Усиление коагулирующего действия одних электролитов при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добавлении других называется </w:t>
      </w:r>
      <w:r w:rsidRPr="00FB05F2">
        <w:rPr>
          <w:rFonts w:ascii="Times New Roman" w:hAnsi="Times New Roman" w:cs="Times New Roman"/>
          <w:i/>
          <w:iCs/>
          <w:sz w:val="28"/>
          <w:szCs w:val="28"/>
        </w:rPr>
        <w:t>синергизмом</w:t>
      </w:r>
      <w:r w:rsidRPr="00FB05F2">
        <w:rPr>
          <w:rFonts w:ascii="Times New Roman" w:hAnsi="Times New Roman" w:cs="Times New Roman"/>
          <w:sz w:val="28"/>
          <w:szCs w:val="28"/>
        </w:rPr>
        <w:t>.</w:t>
      </w:r>
    </w:p>
    <w:p w:rsidR="00FB05F2" w:rsidRPr="00FB05F2" w:rsidRDefault="00FB05F2" w:rsidP="00836EDA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Защита коллоидных частиц. </w:t>
      </w:r>
      <w:r w:rsidRPr="00FB05F2">
        <w:rPr>
          <w:rFonts w:ascii="Times New Roman" w:hAnsi="Times New Roman" w:cs="Times New Roman"/>
          <w:sz w:val="28"/>
          <w:szCs w:val="28"/>
        </w:rPr>
        <w:t>При введении в золь определенных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высокомолекулярных веществ (ВМВ) устойчивость системы может быть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 xml:space="preserve">значительно повышена. Такое явление получило название </w:t>
      </w:r>
      <w:r w:rsidRPr="00FB05F2">
        <w:rPr>
          <w:rFonts w:ascii="Times New Roman" w:hAnsi="Times New Roman" w:cs="Times New Roman"/>
          <w:i/>
          <w:iCs/>
          <w:sz w:val="28"/>
          <w:szCs w:val="28"/>
        </w:rPr>
        <w:t>коллоидной</w:t>
      </w:r>
      <w:r w:rsidR="00836E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i/>
          <w:iCs/>
          <w:sz w:val="28"/>
          <w:szCs w:val="28"/>
        </w:rPr>
        <w:t xml:space="preserve">защиты. </w:t>
      </w:r>
      <w:r w:rsidRPr="00FB05F2">
        <w:rPr>
          <w:rFonts w:ascii="Times New Roman" w:hAnsi="Times New Roman" w:cs="Times New Roman"/>
          <w:sz w:val="28"/>
          <w:szCs w:val="28"/>
        </w:rPr>
        <w:t>Веществами, способными обусловливать коллоидную защиту,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являются белки, углеводороды, пектины, а для систем с неводной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дисперсионной средой – каучук. Для характеристики защитного действия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05F2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FB05F2">
        <w:rPr>
          <w:rFonts w:ascii="Times New Roman" w:hAnsi="Times New Roman" w:cs="Times New Roman"/>
          <w:sz w:val="28"/>
          <w:szCs w:val="28"/>
        </w:rPr>
        <w:t xml:space="preserve"> ВМВ </w:t>
      </w:r>
      <w:proofErr w:type="spellStart"/>
      <w:r w:rsidRPr="00FB05F2">
        <w:rPr>
          <w:rFonts w:ascii="Times New Roman" w:hAnsi="Times New Roman" w:cs="Times New Roman"/>
          <w:sz w:val="28"/>
          <w:szCs w:val="28"/>
        </w:rPr>
        <w:t>Зигмонди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 предложил так называемое '' золотое число''.</w:t>
      </w:r>
    </w:p>
    <w:p w:rsidR="00FB05F2" w:rsidRPr="00FB05F2" w:rsidRDefault="00FB05F2" w:rsidP="00836EDA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Под “золотым числом” подразумевается число миллиграммов ВМВ,</w:t>
      </w:r>
    </w:p>
    <w:p w:rsidR="00FB05F2" w:rsidRPr="00FB05F2" w:rsidRDefault="00FB05F2" w:rsidP="00FB05F2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FB05F2">
        <w:rPr>
          <w:rFonts w:ascii="Times New Roman" w:hAnsi="Times New Roman" w:cs="Times New Roman"/>
          <w:sz w:val="28"/>
          <w:szCs w:val="28"/>
        </w:rPr>
        <w:t>которое необходимо добавить к 10 мл красного золя для того, чтобы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предотвратить его посинение при введении в систему 1 мл 10</w:t>
      </w:r>
      <w:r w:rsidR="00836EDA">
        <w:rPr>
          <w:rFonts w:ascii="Times New Roman" w:hAnsi="Times New Roman" w:cs="Times New Roman"/>
          <w:sz w:val="28"/>
          <w:szCs w:val="28"/>
        </w:rPr>
        <w:t xml:space="preserve"> %</w:t>
      </w:r>
      <w:proofErr w:type="spellStart"/>
      <w:r w:rsidR="00836EDA">
        <w:rPr>
          <w:rFonts w:ascii="Times New Roman" w:hAnsi="Times New Roman" w:cs="Times New Roman"/>
          <w:sz w:val="28"/>
          <w:szCs w:val="28"/>
        </w:rPr>
        <w:t>и</w:t>
      </w:r>
      <w:r w:rsidRPr="00FB05F2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FB05F2">
        <w:rPr>
          <w:rFonts w:ascii="Times New Roman" w:hAnsi="Times New Roman" w:cs="Times New Roman"/>
          <w:sz w:val="28"/>
          <w:szCs w:val="28"/>
        </w:rPr>
        <w:t xml:space="preserve"> хлорида натрия. Механизм защитного действия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сводится к образованию вокруг коллоидной частицы адсорбционной</w:t>
      </w:r>
      <w:r w:rsidR="00836EDA">
        <w:rPr>
          <w:rFonts w:ascii="Times New Roman" w:hAnsi="Times New Roman" w:cs="Times New Roman"/>
          <w:sz w:val="28"/>
          <w:szCs w:val="28"/>
        </w:rPr>
        <w:t xml:space="preserve"> </w:t>
      </w:r>
      <w:r w:rsidRPr="00FB05F2">
        <w:rPr>
          <w:rFonts w:ascii="Times New Roman" w:hAnsi="Times New Roman" w:cs="Times New Roman"/>
          <w:sz w:val="28"/>
          <w:szCs w:val="28"/>
        </w:rPr>
        <w:t>оболочки из высокомолекулярного вещества.</w:t>
      </w:r>
    </w:p>
    <w:p w:rsidR="00836EDA" w:rsidRDefault="00836EDA" w:rsidP="00836EDA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B05F2" w:rsidRPr="00836EDA" w:rsidRDefault="00836EDA" w:rsidP="00836EDA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Последовательность выполнения работы</w:t>
      </w:r>
    </w:p>
    <w:p w:rsidR="00FB05F2" w:rsidRPr="00DA42C4" w:rsidRDefault="00FB05F2" w:rsidP="00DA42C4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A42C4" w:rsidRPr="00DA42C4" w:rsidRDefault="00DA42C4" w:rsidP="00405450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A42C4">
        <w:rPr>
          <w:rFonts w:ascii="Times New Roman" w:hAnsi="Times New Roman" w:cs="Times New Roman"/>
          <w:sz w:val="28"/>
          <w:szCs w:val="28"/>
        </w:rPr>
        <w:t xml:space="preserve">а) Определение порога коагуляции золя </w:t>
      </w:r>
      <w:proofErr w:type="spellStart"/>
      <w:r w:rsidRPr="00DA42C4">
        <w:rPr>
          <w:rFonts w:ascii="Times New Roman" w:hAnsi="Times New Roman" w:cs="Times New Roman"/>
          <w:sz w:val="28"/>
          <w:szCs w:val="28"/>
        </w:rPr>
        <w:t>гидро</w:t>
      </w:r>
      <w:r>
        <w:rPr>
          <w:rFonts w:ascii="Times New Roman" w:hAnsi="Times New Roman" w:cs="Times New Roman"/>
          <w:sz w:val="28"/>
          <w:szCs w:val="28"/>
        </w:rPr>
        <w:t>ксида</w:t>
      </w:r>
      <w:proofErr w:type="spellEnd"/>
      <w:r w:rsidRPr="00DA42C4">
        <w:rPr>
          <w:rFonts w:ascii="Times New Roman" w:hAnsi="Times New Roman" w:cs="Times New Roman"/>
          <w:sz w:val="28"/>
          <w:szCs w:val="28"/>
        </w:rPr>
        <w:t xml:space="preserve"> железа. Для</w:t>
      </w:r>
    </w:p>
    <w:p w:rsidR="00FB05F2" w:rsidRDefault="00DA42C4" w:rsidP="004054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A42C4">
        <w:rPr>
          <w:rFonts w:ascii="Times New Roman" w:hAnsi="Times New Roman" w:cs="Times New Roman"/>
          <w:sz w:val="28"/>
          <w:szCs w:val="28"/>
        </w:rPr>
        <w:t xml:space="preserve">работы применяют </w:t>
      </w:r>
      <w:r w:rsidR="00405450">
        <w:rPr>
          <w:rFonts w:ascii="Times New Roman" w:hAnsi="Times New Roman" w:cs="Times New Roman"/>
          <w:sz w:val="28"/>
          <w:szCs w:val="28"/>
        </w:rPr>
        <w:t>2 М</w:t>
      </w:r>
      <w:r w:rsidR="00FB05F2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DA42C4">
        <w:rPr>
          <w:rFonts w:ascii="Times New Roman" w:hAnsi="Times New Roman" w:cs="Times New Roman"/>
          <w:sz w:val="28"/>
          <w:szCs w:val="28"/>
        </w:rPr>
        <w:t>КСl</w:t>
      </w:r>
      <w:proofErr w:type="spellEnd"/>
      <w:r w:rsidRPr="00DA42C4">
        <w:rPr>
          <w:rFonts w:ascii="Times New Roman" w:hAnsi="Times New Roman" w:cs="Times New Roman"/>
          <w:sz w:val="28"/>
          <w:szCs w:val="28"/>
        </w:rPr>
        <w:t>, 0,05 молярный раствор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>К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A42C4">
        <w:rPr>
          <w:rFonts w:ascii="Times New Roman" w:hAnsi="Times New Roman" w:cs="Times New Roman"/>
          <w:sz w:val="28"/>
          <w:szCs w:val="28"/>
        </w:rPr>
        <w:t>SO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DA42C4">
        <w:rPr>
          <w:rFonts w:ascii="Times New Roman" w:hAnsi="Times New Roman" w:cs="Times New Roman"/>
          <w:sz w:val="28"/>
          <w:szCs w:val="28"/>
        </w:rPr>
        <w:t xml:space="preserve">, 0,005 </w:t>
      </w:r>
      <w:r w:rsidR="00405450">
        <w:rPr>
          <w:rFonts w:ascii="Times New Roman" w:hAnsi="Times New Roman" w:cs="Times New Roman"/>
          <w:sz w:val="28"/>
          <w:szCs w:val="28"/>
        </w:rPr>
        <w:t>М</w:t>
      </w:r>
      <w:r w:rsidRPr="00DA42C4">
        <w:rPr>
          <w:rFonts w:ascii="Times New Roman" w:hAnsi="Times New Roman" w:cs="Times New Roman"/>
          <w:sz w:val="28"/>
          <w:szCs w:val="28"/>
        </w:rPr>
        <w:t xml:space="preserve"> К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A42C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DA42C4">
        <w:rPr>
          <w:rFonts w:ascii="Times New Roman" w:hAnsi="Times New Roman" w:cs="Times New Roman"/>
          <w:sz w:val="28"/>
          <w:szCs w:val="28"/>
        </w:rPr>
        <w:t>F</w:t>
      </w:r>
      <w:proofErr w:type="gramStart"/>
      <w:r w:rsidRPr="00DA42C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A42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A42C4">
        <w:rPr>
          <w:rFonts w:ascii="Times New Roman" w:hAnsi="Times New Roman" w:cs="Times New Roman"/>
          <w:sz w:val="28"/>
          <w:szCs w:val="28"/>
        </w:rPr>
        <w:t>СN)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DA42C4">
        <w:rPr>
          <w:rFonts w:ascii="Times New Roman" w:hAnsi="Times New Roman" w:cs="Times New Roman"/>
          <w:sz w:val="28"/>
          <w:szCs w:val="28"/>
        </w:rPr>
        <w:t>]. В 12 чистых пробирок (по 4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 xml:space="preserve">пробирки для каждого электролита) наливают по 5 мл золя </w:t>
      </w:r>
      <w:proofErr w:type="spellStart"/>
      <w:r w:rsidRPr="00DA42C4">
        <w:rPr>
          <w:rFonts w:ascii="Times New Roman" w:hAnsi="Times New Roman" w:cs="Times New Roman"/>
          <w:sz w:val="28"/>
          <w:szCs w:val="28"/>
        </w:rPr>
        <w:t>гидро</w:t>
      </w:r>
      <w:r w:rsidR="00405450">
        <w:rPr>
          <w:rFonts w:ascii="Times New Roman" w:hAnsi="Times New Roman" w:cs="Times New Roman"/>
          <w:sz w:val="28"/>
          <w:szCs w:val="28"/>
        </w:rPr>
        <w:t>ксида</w:t>
      </w:r>
      <w:proofErr w:type="spellEnd"/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 xml:space="preserve">железа и указанное в таблице </w:t>
      </w:r>
      <w:r w:rsidR="00405450">
        <w:rPr>
          <w:rFonts w:ascii="Times New Roman" w:hAnsi="Times New Roman" w:cs="Times New Roman"/>
          <w:sz w:val="28"/>
          <w:szCs w:val="28"/>
        </w:rPr>
        <w:t>1</w:t>
      </w:r>
      <w:r w:rsidRPr="00DA42C4">
        <w:rPr>
          <w:rFonts w:ascii="Times New Roman" w:hAnsi="Times New Roman" w:cs="Times New Roman"/>
          <w:sz w:val="28"/>
          <w:szCs w:val="28"/>
        </w:rPr>
        <w:t xml:space="preserve"> количество миллилитров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>дистиллированной воды и раствора электролита, после чего содержимое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 xml:space="preserve">каждой пробирки немедленно хорошо перемешивают </w:t>
      </w:r>
      <w:r w:rsidRPr="00DA42C4">
        <w:rPr>
          <w:rFonts w:ascii="Times New Roman" w:hAnsi="Times New Roman" w:cs="Times New Roman"/>
          <w:sz w:val="28"/>
          <w:szCs w:val="28"/>
        </w:rPr>
        <w:lastRenderedPageBreak/>
        <w:t>и через 30 минут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>отмечают, в каких пробирках произошла явная коагуляция. (При</w:t>
      </w:r>
      <w:r w:rsid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DA42C4">
        <w:rPr>
          <w:rFonts w:ascii="Times New Roman" w:hAnsi="Times New Roman" w:cs="Times New Roman"/>
          <w:sz w:val="28"/>
          <w:szCs w:val="28"/>
        </w:rPr>
        <w:t>помутнении поставить в таблице знак "+").</w:t>
      </w:r>
    </w:p>
    <w:p w:rsidR="00405450" w:rsidRDefault="00405450" w:rsidP="004054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05450" w:rsidRDefault="00405450" w:rsidP="00405450">
      <w:pPr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:rsidR="00405450" w:rsidRDefault="00405450" w:rsidP="00405450">
      <w:pPr>
        <w:autoSpaceDE w:val="0"/>
        <w:autoSpaceDN w:val="0"/>
        <w:adjustRightInd w:val="0"/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97"/>
        <w:gridCol w:w="1783"/>
        <w:gridCol w:w="2472"/>
        <w:gridCol w:w="1820"/>
        <w:gridCol w:w="1798"/>
      </w:tblGrid>
      <w:tr w:rsidR="00405450" w:rsidTr="00405450">
        <w:tc>
          <w:tcPr>
            <w:tcW w:w="1697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№ пробирки</w:t>
            </w:r>
          </w:p>
        </w:tc>
        <w:tc>
          <w:tcPr>
            <w:tcW w:w="1783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 xml:space="preserve">Золь </w:t>
            </w:r>
            <w:proofErr w:type="spellStart"/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гидроксида</w:t>
            </w:r>
            <w:proofErr w:type="spellEnd"/>
          </w:p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железа, мл</w:t>
            </w:r>
          </w:p>
        </w:tc>
        <w:tc>
          <w:tcPr>
            <w:tcW w:w="2472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Дистиллированная вода, мл</w:t>
            </w:r>
          </w:p>
        </w:tc>
        <w:tc>
          <w:tcPr>
            <w:tcW w:w="1820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Раствор</w:t>
            </w:r>
          </w:p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электролита мл</w:t>
            </w:r>
          </w:p>
        </w:tc>
        <w:tc>
          <w:tcPr>
            <w:tcW w:w="1798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Коагуляция</w:t>
            </w:r>
          </w:p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через 30 минут</w:t>
            </w:r>
          </w:p>
        </w:tc>
      </w:tr>
      <w:tr w:rsidR="00405450" w:rsidTr="00405450">
        <w:tc>
          <w:tcPr>
            <w:tcW w:w="1697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820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98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50" w:rsidTr="00405450">
        <w:tc>
          <w:tcPr>
            <w:tcW w:w="1697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820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798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50" w:rsidTr="00405450">
        <w:tc>
          <w:tcPr>
            <w:tcW w:w="1697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820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798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450" w:rsidTr="00405450">
        <w:tc>
          <w:tcPr>
            <w:tcW w:w="1697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45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20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98" w:type="dxa"/>
          </w:tcPr>
          <w:p w:rsidR="00405450" w:rsidRPr="00405450" w:rsidRDefault="00405450" w:rsidP="00405450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450" w:rsidRDefault="00405450" w:rsidP="004054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450" w:rsidRDefault="00405450" w:rsidP="00405450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405450">
        <w:rPr>
          <w:rFonts w:ascii="Times New Roman" w:hAnsi="Times New Roman" w:cs="Times New Roman"/>
          <w:sz w:val="28"/>
          <w:szCs w:val="28"/>
        </w:rPr>
        <w:t xml:space="preserve"> каждой пробирке концентрация золя одинакова, а концентрация электролита в каждой следующей пробирке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чем в предыдущей, в два раза.</w:t>
      </w:r>
      <w:proofErr w:type="gramEnd"/>
      <w:r w:rsidRPr="00405450">
        <w:rPr>
          <w:rFonts w:ascii="Times New Roman" w:hAnsi="Times New Roman" w:cs="Times New Roman"/>
          <w:sz w:val="28"/>
          <w:szCs w:val="28"/>
        </w:rPr>
        <w:t xml:space="preserve"> Если ни в одной из пробирок коагуляции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нет, то повторяют опыт, применяя в 2-5 раз более концентрированный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раствор электролита. Порог коагуляции вычисляют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05450" w:rsidRPr="00405450" w:rsidRDefault="00405450" w:rsidP="00405450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p w:rsidR="00405450" w:rsidRDefault="00405450" w:rsidP="00405450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пор</w:t>
      </w:r>
      <w:r w:rsidRPr="00405450">
        <w:rPr>
          <w:rFonts w:ascii="Times New Roman" w:hAnsi="Times New Roman" w:cs="Times New Roman"/>
          <w:sz w:val="28"/>
          <w:szCs w:val="28"/>
        </w:rPr>
        <w:t xml:space="preserve"> = 100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i/>
          <w:sz w:val="28"/>
          <w:szCs w:val="28"/>
        </w:rPr>
        <w:t>V</w:t>
      </w:r>
      <w:r w:rsidRPr="0040545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0545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405450">
        <w:rPr>
          <w:rFonts w:ascii="Times New Roman" w:hAnsi="Times New Roman" w:cs="Times New Roman"/>
          <w:sz w:val="28"/>
          <w:szCs w:val="28"/>
        </w:rPr>
        <w:t>/л),</w:t>
      </w:r>
    </w:p>
    <w:p w:rsidR="00405450" w:rsidRPr="00405450" w:rsidRDefault="00405450" w:rsidP="004054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05450" w:rsidRPr="00405450" w:rsidRDefault="00405450" w:rsidP="004054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545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40545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05450">
        <w:rPr>
          <w:rFonts w:ascii="Times New Roman" w:hAnsi="Times New Roman" w:cs="Times New Roman"/>
          <w:sz w:val="28"/>
          <w:szCs w:val="28"/>
        </w:rPr>
        <w:t>молярная</w:t>
      </w:r>
      <w:proofErr w:type="gramEnd"/>
      <w:r w:rsidRPr="00405450">
        <w:rPr>
          <w:rFonts w:ascii="Times New Roman" w:hAnsi="Times New Roman" w:cs="Times New Roman"/>
          <w:sz w:val="28"/>
          <w:szCs w:val="28"/>
        </w:rPr>
        <w:t xml:space="preserve"> концентрация; </w:t>
      </w:r>
      <w:r w:rsidRPr="00405450">
        <w:rPr>
          <w:rFonts w:ascii="Times New Roman" w:hAnsi="Times New Roman" w:cs="Times New Roman"/>
          <w:i/>
          <w:sz w:val="28"/>
          <w:szCs w:val="28"/>
        </w:rPr>
        <w:t>V</w:t>
      </w:r>
      <w:r w:rsidRPr="00405450"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405450">
        <w:rPr>
          <w:rFonts w:ascii="Times New Roman" w:hAnsi="Times New Roman" w:cs="Times New Roman"/>
          <w:sz w:val="28"/>
          <w:szCs w:val="28"/>
        </w:rPr>
        <w:t>наименьшее число миллилитров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раствора электролита, достаточное для коагуляции золя.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Например, если коагуляция золя 0</w:t>
      </w:r>
      <w:r w:rsidR="00892A44">
        <w:rPr>
          <w:rFonts w:ascii="Times New Roman" w:hAnsi="Times New Roman" w:cs="Times New Roman"/>
          <w:sz w:val="28"/>
          <w:szCs w:val="28"/>
        </w:rPr>
        <w:t xml:space="preserve">, </w:t>
      </w:r>
      <w:r w:rsidRPr="00405450">
        <w:rPr>
          <w:rFonts w:ascii="Times New Roman" w:hAnsi="Times New Roman" w:cs="Times New Roman"/>
          <w:sz w:val="28"/>
          <w:szCs w:val="28"/>
        </w:rPr>
        <w:t>05 М раствором K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5450">
        <w:rPr>
          <w:rFonts w:ascii="Times New Roman" w:hAnsi="Times New Roman" w:cs="Times New Roman"/>
          <w:sz w:val="28"/>
          <w:szCs w:val="28"/>
        </w:rPr>
        <w:t>SO</w:t>
      </w:r>
      <w:r w:rsidRPr="0040545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произошла только в третьей и четвертой пробирках, то порог коагуляции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 xml:space="preserve">равен </w:t>
      </w:r>
      <w:proofErr w:type="spellStart"/>
      <w:r w:rsidRPr="00405450">
        <w:rPr>
          <w:rFonts w:ascii="Times New Roman" w:hAnsi="Times New Roman" w:cs="Times New Roman"/>
          <w:sz w:val="28"/>
          <w:szCs w:val="28"/>
        </w:rPr>
        <w:t>миллимолярной</w:t>
      </w:r>
      <w:proofErr w:type="spellEnd"/>
      <w:r w:rsidRPr="00405450">
        <w:rPr>
          <w:rFonts w:ascii="Times New Roman" w:hAnsi="Times New Roman" w:cs="Times New Roman"/>
          <w:sz w:val="28"/>
          <w:szCs w:val="28"/>
        </w:rPr>
        <w:t xml:space="preserve"> концентрации K</w:t>
      </w:r>
      <w:r w:rsidRPr="00892A4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05450">
        <w:rPr>
          <w:rFonts w:ascii="Times New Roman" w:hAnsi="Times New Roman" w:cs="Times New Roman"/>
          <w:sz w:val="28"/>
          <w:szCs w:val="28"/>
        </w:rPr>
        <w:t>SO</w:t>
      </w:r>
      <w:r w:rsidRPr="00892A4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05450">
        <w:rPr>
          <w:rFonts w:ascii="Times New Roman" w:hAnsi="Times New Roman" w:cs="Times New Roman"/>
          <w:sz w:val="28"/>
          <w:szCs w:val="28"/>
        </w:rPr>
        <w:t xml:space="preserve"> в третьей пробирке, а</w:t>
      </w:r>
      <w:r w:rsidR="00892A44"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именно,</w:t>
      </w:r>
    </w:p>
    <w:p w:rsidR="00405450" w:rsidRDefault="00892A44" w:rsidP="00892A4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405450" w:rsidRPr="00892A44">
        <w:rPr>
          <w:rFonts w:ascii="Times New Roman" w:hAnsi="Times New Roman" w:cs="Times New Roman"/>
          <w:sz w:val="36"/>
          <w:szCs w:val="36"/>
          <w:vertAlign w:val="subscript"/>
        </w:rPr>
        <w:t>пор</w:t>
      </w:r>
      <w:r w:rsidR="00405450" w:rsidRPr="00405450">
        <w:rPr>
          <w:rFonts w:ascii="Times New Roman" w:hAnsi="Times New Roman" w:cs="Times New Roman"/>
          <w:sz w:val="28"/>
          <w:szCs w:val="28"/>
        </w:rPr>
        <w:t xml:space="preserve"> = 100</w:t>
      </w:r>
      <w:r>
        <w:rPr>
          <w:rFonts w:ascii="Times New Roman" w:hAnsi="Times New Roman" w:cs="Times New Roman"/>
          <w:sz w:val="28"/>
          <w:szCs w:val="28"/>
        </w:rPr>
        <w:t>∙</w:t>
      </w:r>
      <w:r w:rsidR="00405450" w:rsidRPr="004054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5450" w:rsidRPr="0040545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∙</w:t>
      </w:r>
      <w:r w:rsidR="00405450" w:rsidRPr="00405450">
        <w:rPr>
          <w:rFonts w:ascii="Times New Roman" w:hAnsi="Times New Roman" w:cs="Times New Roman"/>
          <w:sz w:val="28"/>
          <w:szCs w:val="28"/>
        </w:rPr>
        <w:t xml:space="preserve">2 = 10 </w:t>
      </w:r>
      <w:proofErr w:type="spellStart"/>
      <w:r w:rsidR="00405450" w:rsidRPr="0040545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405450" w:rsidRPr="00405450">
        <w:rPr>
          <w:rFonts w:ascii="Times New Roman" w:hAnsi="Times New Roman" w:cs="Times New Roman"/>
          <w:sz w:val="28"/>
          <w:szCs w:val="28"/>
        </w:rPr>
        <w:t>/л золя</w:t>
      </w:r>
    </w:p>
    <w:p w:rsidR="00892A44" w:rsidRPr="00405450" w:rsidRDefault="00892A44" w:rsidP="00892A44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05450" w:rsidRPr="00405450" w:rsidRDefault="00405450" w:rsidP="00892A44">
      <w:pPr>
        <w:autoSpaceDE w:val="0"/>
        <w:autoSpaceDN w:val="0"/>
        <w:adjustRightInd w:val="0"/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405450">
        <w:rPr>
          <w:rFonts w:ascii="Times New Roman" w:hAnsi="Times New Roman" w:cs="Times New Roman"/>
          <w:sz w:val="28"/>
          <w:szCs w:val="28"/>
        </w:rPr>
        <w:t>Для получения более точных результатов повторяют определение,</w:t>
      </w:r>
      <w:r w:rsidR="00892A44"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 xml:space="preserve">применяя промежуточные количества электролита между теми, которые </w:t>
      </w:r>
      <w:proofErr w:type="gramStart"/>
      <w:r w:rsidRPr="004054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05450" w:rsidRPr="00405450" w:rsidRDefault="00405450" w:rsidP="00405450">
      <w:pPr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405450">
        <w:rPr>
          <w:rFonts w:ascii="Times New Roman" w:hAnsi="Times New Roman" w:cs="Times New Roman"/>
          <w:sz w:val="28"/>
          <w:szCs w:val="28"/>
        </w:rPr>
        <w:t>первой серии вызывали и не вызывали коагуляцию золя (</w:t>
      </w:r>
      <w:proofErr w:type="gramStart"/>
      <w:r w:rsidRPr="0040545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405450">
        <w:rPr>
          <w:rFonts w:ascii="Times New Roman" w:hAnsi="Times New Roman" w:cs="Times New Roman"/>
          <w:sz w:val="28"/>
          <w:szCs w:val="28"/>
        </w:rPr>
        <w:t xml:space="preserve">. таблицу </w:t>
      </w:r>
      <w:r w:rsidR="00FB05F2">
        <w:rPr>
          <w:rFonts w:ascii="Times New Roman" w:hAnsi="Times New Roman" w:cs="Times New Roman"/>
          <w:sz w:val="28"/>
          <w:szCs w:val="28"/>
        </w:rPr>
        <w:t>1</w:t>
      </w:r>
      <w:r w:rsidRPr="00405450">
        <w:rPr>
          <w:rFonts w:ascii="Times New Roman" w:hAnsi="Times New Roman" w:cs="Times New Roman"/>
          <w:sz w:val="28"/>
          <w:szCs w:val="28"/>
        </w:rPr>
        <w:t>). В</w:t>
      </w:r>
    </w:p>
    <w:p w:rsidR="00FB05F2" w:rsidRPr="00FB05F2" w:rsidRDefault="00405450" w:rsidP="00FB05F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05450">
        <w:rPr>
          <w:rFonts w:ascii="Times New Roman" w:hAnsi="Times New Roman" w:cs="Times New Roman"/>
          <w:sz w:val="28"/>
          <w:szCs w:val="28"/>
        </w:rPr>
        <w:t>каждую пробирку с золем 5 мл</w:t>
      </w:r>
      <w:r w:rsidRPr="004054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05450">
        <w:rPr>
          <w:rFonts w:ascii="Times New Roman" w:hAnsi="Times New Roman" w:cs="Times New Roman"/>
          <w:sz w:val="28"/>
          <w:szCs w:val="28"/>
        </w:rPr>
        <w:t>помимо указанного количества</w:t>
      </w:r>
      <w:r w:rsidR="00892A44">
        <w:rPr>
          <w:rFonts w:ascii="Times New Roman" w:hAnsi="Times New Roman" w:cs="Times New Roman"/>
          <w:sz w:val="28"/>
          <w:szCs w:val="28"/>
        </w:rPr>
        <w:t xml:space="preserve"> </w:t>
      </w:r>
      <w:r w:rsidRPr="00405450">
        <w:rPr>
          <w:rFonts w:ascii="Times New Roman" w:hAnsi="Times New Roman" w:cs="Times New Roman"/>
          <w:sz w:val="28"/>
          <w:szCs w:val="28"/>
        </w:rPr>
        <w:t>электролита, приливает недостающее до 5 мл количество</w:t>
      </w:r>
      <w:r w:rsidR="00FB05F2">
        <w:rPr>
          <w:rFonts w:ascii="Times New Roman" w:hAnsi="Times New Roman" w:cs="Times New Roman"/>
          <w:sz w:val="28"/>
          <w:szCs w:val="28"/>
        </w:rPr>
        <w:t xml:space="preserve"> </w:t>
      </w:r>
      <w:r w:rsidR="00FB05F2" w:rsidRPr="00FB05F2">
        <w:rPr>
          <w:rFonts w:ascii="Times New Roman" w:hAnsi="Times New Roman" w:cs="Times New Roman"/>
          <w:sz w:val="28"/>
          <w:szCs w:val="28"/>
        </w:rPr>
        <w:t>дистиллированной воды. Значение порога коагуляции записывают в</w:t>
      </w:r>
      <w:r w:rsidR="00FB05F2">
        <w:rPr>
          <w:rFonts w:ascii="Times New Roman" w:hAnsi="Times New Roman" w:cs="Times New Roman"/>
          <w:sz w:val="28"/>
          <w:szCs w:val="28"/>
        </w:rPr>
        <w:t xml:space="preserve"> </w:t>
      </w:r>
      <w:r w:rsidR="00FB05F2" w:rsidRPr="00FB05F2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FB05F2">
        <w:rPr>
          <w:rFonts w:ascii="Times New Roman" w:hAnsi="Times New Roman" w:cs="Times New Roman"/>
          <w:sz w:val="28"/>
          <w:szCs w:val="28"/>
        </w:rPr>
        <w:t>3</w:t>
      </w:r>
      <w:r w:rsidR="00FB05F2" w:rsidRPr="00FB05F2">
        <w:rPr>
          <w:rFonts w:ascii="Times New Roman" w:hAnsi="Times New Roman" w:cs="Times New Roman"/>
          <w:sz w:val="28"/>
          <w:szCs w:val="28"/>
        </w:rPr>
        <w:t>.</w:t>
      </w:r>
    </w:p>
    <w:p w:rsidR="00FB05F2" w:rsidRDefault="00FB05F2" w:rsidP="00FB05F2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FB05F2" w:rsidSect="004054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2C4"/>
    <w:rsid w:val="000706E3"/>
    <w:rsid w:val="000A6222"/>
    <w:rsid w:val="00405450"/>
    <w:rsid w:val="00836EDA"/>
    <w:rsid w:val="00892A44"/>
    <w:rsid w:val="00980AE4"/>
    <w:rsid w:val="00983C5F"/>
    <w:rsid w:val="00A9296E"/>
    <w:rsid w:val="00DA42C4"/>
    <w:rsid w:val="00FB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5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EA5A-AFEB-4262-8BD6-9ECBC62D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4</cp:revision>
  <dcterms:created xsi:type="dcterms:W3CDTF">2014-05-14T12:25:00Z</dcterms:created>
  <dcterms:modified xsi:type="dcterms:W3CDTF">2014-05-14T13:01:00Z</dcterms:modified>
</cp:coreProperties>
</file>