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D" w:rsidRDefault="0058409D" w:rsidP="0058409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Определение уровня загрязнения атмосферного воздуха окисью углерода на конкретном участке автотранспортной магистрали.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Цель занятия: закрепления студентами знаний, полученных на лекциях курса «Экология» (разделы: экологические проблемы атмосферы, проблемы глобальной экологии; экологическое нормирование загрязняющих веществ, экологический контроль и мониторинг, состояние окружающей среды и здоровье населения).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Одним из самых опасных для здоровья человека соединений, присутствующих в отработанных газах дизелей и двигателей внутреннего сгорания, является </w:t>
      </w:r>
      <w:proofErr w:type="gramStart"/>
      <w:r>
        <w:rPr>
          <w:color w:val="auto"/>
          <w:sz w:val="28"/>
        </w:rPr>
        <w:t>СО</w:t>
      </w:r>
      <w:proofErr w:type="gramEnd"/>
      <w:r>
        <w:rPr>
          <w:color w:val="auto"/>
          <w:sz w:val="28"/>
        </w:rPr>
        <w:t xml:space="preserve"> – окись углерода (оксид углерода). Существует множество </w:t>
      </w:r>
      <w:proofErr w:type="gramStart"/>
      <w:r>
        <w:rPr>
          <w:color w:val="auto"/>
          <w:sz w:val="28"/>
        </w:rPr>
        <w:t>методов прямого определения концентрации окиси углерода</w:t>
      </w:r>
      <w:proofErr w:type="gramEnd"/>
      <w:r>
        <w:rPr>
          <w:color w:val="auto"/>
          <w:sz w:val="28"/>
        </w:rPr>
        <w:t xml:space="preserve"> в составе приземного слоя атмосферы. Но мы воспользуемся методикой, </w:t>
      </w:r>
      <w:proofErr w:type="spellStart"/>
      <w:r>
        <w:rPr>
          <w:color w:val="auto"/>
          <w:sz w:val="28"/>
        </w:rPr>
        <w:t>основоной</w:t>
      </w:r>
      <w:proofErr w:type="spellEnd"/>
      <w:r>
        <w:rPr>
          <w:color w:val="auto"/>
          <w:sz w:val="28"/>
        </w:rPr>
        <w:t xml:space="preserve"> на косвенных показателях и позволяющей обойтись без специальных приборов. 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Группа студентов после проведения </w:t>
      </w:r>
      <w:proofErr w:type="spellStart"/>
      <w:r>
        <w:rPr>
          <w:color w:val="auto"/>
          <w:sz w:val="28"/>
        </w:rPr>
        <w:t>инстуктажа</w:t>
      </w:r>
      <w:proofErr w:type="spellEnd"/>
      <w:r>
        <w:rPr>
          <w:color w:val="auto"/>
          <w:sz w:val="28"/>
        </w:rPr>
        <w:t xml:space="preserve"> по технике безопасности делится на бригады (3-5 человека), которые распределяются по местам </w:t>
      </w:r>
      <w:proofErr w:type="spellStart"/>
      <w:r>
        <w:rPr>
          <w:color w:val="auto"/>
          <w:sz w:val="28"/>
        </w:rPr>
        <w:t>иследований</w:t>
      </w:r>
      <w:proofErr w:type="spellEnd"/>
      <w:r>
        <w:rPr>
          <w:color w:val="auto"/>
          <w:sz w:val="28"/>
        </w:rPr>
        <w:t xml:space="preserve">. </w:t>
      </w:r>
      <w:proofErr w:type="gramStart"/>
      <w:r>
        <w:rPr>
          <w:color w:val="auto"/>
          <w:sz w:val="28"/>
        </w:rPr>
        <w:t>Старший</w:t>
      </w:r>
      <w:proofErr w:type="gramEnd"/>
      <w:r>
        <w:rPr>
          <w:color w:val="auto"/>
          <w:sz w:val="28"/>
        </w:rPr>
        <w:t xml:space="preserve"> группы занимается общей оценкой обстановки на конкретном участке магистрали, остальные занимаются учетом автотранспортных средств. Если на дороге организовано </w:t>
      </w:r>
      <w:proofErr w:type="spellStart"/>
      <w:r>
        <w:rPr>
          <w:color w:val="auto"/>
          <w:sz w:val="28"/>
        </w:rPr>
        <w:t>двусторонее</w:t>
      </w:r>
      <w:proofErr w:type="spellEnd"/>
      <w:r>
        <w:rPr>
          <w:color w:val="auto"/>
          <w:sz w:val="28"/>
        </w:rPr>
        <w:t xml:space="preserve"> движение, то целесообразно </w:t>
      </w:r>
      <w:proofErr w:type="spellStart"/>
      <w:r>
        <w:rPr>
          <w:color w:val="auto"/>
          <w:sz w:val="28"/>
        </w:rPr>
        <w:t>размекщение</w:t>
      </w:r>
      <w:proofErr w:type="spellEnd"/>
      <w:r>
        <w:rPr>
          <w:color w:val="auto"/>
          <w:sz w:val="28"/>
        </w:rPr>
        <w:t xml:space="preserve"> бригад студентов на обеих ее сторонах. Сбор данных проводится в течение часа, фиксируется дата, время, место и условия проведения замеров. Анализ собранных данных проводится в аудиторных условиях, на второй паре занятий.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Для оценки загрязнения приземного слоя атмосферы используется формула (</w:t>
      </w:r>
      <w:proofErr w:type="spellStart"/>
      <w:r>
        <w:rPr>
          <w:color w:val="auto"/>
          <w:sz w:val="28"/>
        </w:rPr>
        <w:t>Бегма</w:t>
      </w:r>
      <w:proofErr w:type="spellEnd"/>
      <w:r>
        <w:rPr>
          <w:color w:val="auto"/>
          <w:sz w:val="28"/>
        </w:rPr>
        <w:t xml:space="preserve"> и др., 1984; Федорова, Никольская, 1997): </w:t>
      </w:r>
    </w:p>
    <w:p w:rsidR="0058409D" w:rsidRDefault="0058409D" w:rsidP="0058409D">
      <w:pPr>
        <w:pStyle w:val="Default"/>
        <w:spacing w:line="360" w:lineRule="auto"/>
        <w:ind w:firstLine="709"/>
        <w:jc w:val="center"/>
        <w:rPr>
          <w:color w:val="auto"/>
          <w:sz w:val="28"/>
        </w:rPr>
      </w:pPr>
      <w:r>
        <w:rPr>
          <w:color w:val="auto"/>
          <w:position w:val="-14"/>
          <w:sz w:val="28"/>
        </w:rPr>
        <w:object w:dxaOrig="5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0.25pt" o:ole="">
            <v:imagedata r:id="rId5" o:title=""/>
          </v:shape>
          <o:OLEObject Type="Embed" ProgID="Equation.3" ShapeID="_x0000_i1025" DrawAspect="Content" ObjectID="_1453187547" r:id="rId6"/>
        </w:objec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К</w:t>
      </w:r>
      <w:r>
        <w:rPr>
          <w:color w:val="auto"/>
          <w:sz w:val="28"/>
          <w:vertAlign w:val="subscript"/>
        </w:rPr>
        <w:t>со</w:t>
      </w:r>
      <w:proofErr w:type="spellEnd"/>
      <w:r>
        <w:rPr>
          <w:color w:val="auto"/>
          <w:sz w:val="28"/>
        </w:rPr>
        <w:t xml:space="preserve"> – концентрация окиси углерода,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0,5 – фоновое (не транспортное) загрязнение приземного слоя атмосферного воздуха в пределах городской черты </w:t>
      </w:r>
      <w:proofErr w:type="gramStart"/>
      <w:r>
        <w:rPr>
          <w:color w:val="auto"/>
          <w:sz w:val="28"/>
        </w:rPr>
        <w:t>г</w:t>
      </w:r>
      <w:proofErr w:type="gramEnd"/>
      <w:r>
        <w:rPr>
          <w:color w:val="auto"/>
          <w:sz w:val="28"/>
        </w:rPr>
        <w:t>. Казань (в мг/л),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lang w:val="en-US"/>
        </w:rPr>
        <w:t>N</w:t>
      </w:r>
      <w:r>
        <w:rPr>
          <w:color w:val="auto"/>
          <w:sz w:val="28"/>
        </w:rPr>
        <w:t xml:space="preserve"> – </w:t>
      </w:r>
      <w:proofErr w:type="gramStart"/>
      <w:r>
        <w:rPr>
          <w:color w:val="auto"/>
          <w:sz w:val="28"/>
        </w:rPr>
        <w:t>суммарная</w:t>
      </w:r>
      <w:proofErr w:type="gramEnd"/>
      <w:r>
        <w:rPr>
          <w:color w:val="auto"/>
          <w:sz w:val="28"/>
        </w:rPr>
        <w:t xml:space="preserve"> интенсивность движения автомобилей на улицах г. Казань.</w:t>
      </w:r>
    </w:p>
    <w:p w:rsidR="0058409D" w:rsidRDefault="0058409D" w:rsidP="0058409D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К</w:t>
      </w:r>
      <w:r>
        <w:rPr>
          <w:color w:val="auto"/>
          <w:sz w:val="28"/>
          <w:vertAlign w:val="subscript"/>
        </w:rPr>
        <w:t>Т</w:t>
      </w:r>
      <w:r>
        <w:rPr>
          <w:color w:val="auto"/>
          <w:sz w:val="28"/>
        </w:rPr>
        <w:t xml:space="preserve"> – коэффициент токсичности определенного типа автомобилей по выбросам в атмосферу </w:t>
      </w:r>
      <w:proofErr w:type="gramStart"/>
      <w:r>
        <w:rPr>
          <w:color w:val="auto"/>
          <w:sz w:val="28"/>
        </w:rPr>
        <w:t>СО</w:t>
      </w:r>
      <w:proofErr w:type="gramEnd"/>
      <w:r>
        <w:rPr>
          <w:color w:val="auto"/>
          <w:sz w:val="28"/>
        </w:rPr>
        <w:t>,</w:t>
      </w:r>
    </w:p>
    <w:p w:rsidR="0058409D" w:rsidRDefault="0058409D" w:rsidP="0058409D">
      <w:pPr>
        <w:pStyle w:val="Default"/>
        <w:spacing w:line="360" w:lineRule="auto"/>
        <w:ind w:firstLine="709"/>
        <w:jc w:val="both"/>
      </w:pPr>
      <w:r>
        <w:t>К</w:t>
      </w:r>
      <w:r>
        <w:rPr>
          <w:vertAlign w:val="subscript"/>
        </w:rPr>
        <w:t xml:space="preserve">А </w:t>
      </w:r>
      <w:r>
        <w:t>– коэффициент, учитывающий аэрацию на данном участке дороги,</w:t>
      </w:r>
    </w:p>
    <w:p w:rsidR="0058409D" w:rsidRDefault="0058409D" w:rsidP="0058409D">
      <w:pPr>
        <w:pStyle w:val="Default"/>
        <w:spacing w:line="360" w:lineRule="auto"/>
        <w:ind w:firstLine="709"/>
        <w:jc w:val="both"/>
      </w:pPr>
      <w:r>
        <w:t>К</w:t>
      </w:r>
      <w:r>
        <w:rPr>
          <w:vertAlign w:val="subscript"/>
        </w:rPr>
        <w:t xml:space="preserve">У </w:t>
      </w:r>
      <w:r>
        <w:t>– коэффициент, учитывающий величину уклона дорожного полотна (в процентах),</w:t>
      </w:r>
    </w:p>
    <w:p w:rsidR="0058409D" w:rsidRDefault="0058409D" w:rsidP="0058409D">
      <w:pPr>
        <w:spacing w:line="360" w:lineRule="auto"/>
        <w:ind w:firstLine="709"/>
      </w:pPr>
      <w:r>
        <w:t>К</w:t>
      </w:r>
      <w:proofErr w:type="gramStart"/>
      <w:r>
        <w:rPr>
          <w:vertAlign w:val="subscript"/>
        </w:rPr>
        <w:t>с</w:t>
      </w:r>
      <w:r>
        <w:t>-</w:t>
      </w:r>
      <w:proofErr w:type="gramEnd"/>
      <w:r>
        <w:t xml:space="preserve"> коэффициент учитывающий скорость ветра, </w:t>
      </w:r>
    </w:p>
    <w:p w:rsidR="0058409D" w:rsidRDefault="0058409D" w:rsidP="0058409D">
      <w:pPr>
        <w:spacing w:line="360" w:lineRule="auto"/>
        <w:ind w:firstLine="709"/>
        <w:jc w:val="left"/>
      </w:pPr>
      <w:proofErr w:type="spellStart"/>
      <w:r>
        <w:t>К</w:t>
      </w:r>
      <w:r>
        <w:rPr>
          <w:vertAlign w:val="subscript"/>
        </w:rPr>
        <w:t>в</w:t>
      </w:r>
      <w:proofErr w:type="spellEnd"/>
      <w:r>
        <w:t xml:space="preserve"> – коэффициент, учитывающий влажность воздуха,</w:t>
      </w:r>
    </w:p>
    <w:p w:rsidR="0058409D" w:rsidRDefault="0058409D" w:rsidP="0058409D">
      <w:pPr>
        <w:spacing w:line="360" w:lineRule="auto"/>
        <w:ind w:firstLine="709"/>
        <w:jc w:val="left"/>
      </w:pPr>
      <w:proofErr w:type="spellStart"/>
      <w:r>
        <w:t>К</w:t>
      </w:r>
      <w:r>
        <w:rPr>
          <w:vertAlign w:val="subscript"/>
        </w:rPr>
        <w:t>п</w:t>
      </w:r>
      <w:proofErr w:type="spellEnd"/>
      <w:r>
        <w:t xml:space="preserve"> – коэффициент, учитывающий зависимость концентрации окиси углерода от типа пересечения дорог.</w:t>
      </w:r>
    </w:p>
    <w:p w:rsidR="0058409D" w:rsidRDefault="0058409D" w:rsidP="0058409D">
      <w:pPr>
        <w:spacing w:line="360" w:lineRule="auto"/>
        <w:ind w:firstLine="709"/>
      </w:pPr>
      <w:r>
        <w:t>Значение коэффициента токсичности по выбросам в атмосферу СО (К</w:t>
      </w:r>
      <w:r>
        <w:rPr>
          <w:vertAlign w:val="subscript"/>
        </w:rPr>
        <w:t>Т</w:t>
      </w:r>
      <w:r>
        <w:t>) определяется по формуле:</w:t>
      </w:r>
    </w:p>
    <w:p w:rsidR="0058409D" w:rsidRDefault="0058409D" w:rsidP="0058409D">
      <w:pPr>
        <w:spacing w:line="360" w:lineRule="auto"/>
        <w:ind w:firstLine="709"/>
        <w:jc w:val="center"/>
      </w:pPr>
      <w:r>
        <w:rPr>
          <w:position w:val="-20"/>
        </w:rPr>
        <w:object w:dxaOrig="2140" w:dyaOrig="460">
          <v:shape id="_x0000_i1026" type="#_x0000_t75" style="width:107.25pt;height:23.25pt" o:ole="">
            <v:imagedata r:id="rId7" o:title=""/>
          </v:shape>
          <o:OLEObject Type="Embed" ProgID="Equation.3" ShapeID="_x0000_i1026" DrawAspect="Content" ObjectID="_1453187548" r:id="rId8"/>
        </w:object>
      </w:r>
    </w:p>
    <w:p w:rsidR="0058409D" w:rsidRDefault="0058409D" w:rsidP="0058409D">
      <w:pPr>
        <w:spacing w:line="360" w:lineRule="auto"/>
        <w:ind w:firstLine="709"/>
        <w:jc w:val="left"/>
      </w:pPr>
      <w:r>
        <w:t>(определяется по таблице),</w:t>
      </w:r>
    </w:p>
    <w:p w:rsidR="0058409D" w:rsidRDefault="0058409D" w:rsidP="0058409D">
      <w:pPr>
        <w:spacing w:line="360" w:lineRule="auto"/>
        <w:ind w:firstLine="709"/>
        <w:jc w:val="left"/>
      </w:pPr>
      <w:r>
        <w:t>где Р</w:t>
      </w:r>
      <w:proofErr w:type="spellStart"/>
      <w:proofErr w:type="gramStart"/>
      <w:r>
        <w:rPr>
          <w:vertAlign w:val="subscript"/>
          <w:lang w:val="en-US"/>
        </w:rPr>
        <w:t>i</w:t>
      </w:r>
      <w:proofErr w:type="spellEnd"/>
      <w:proofErr w:type="gramEnd"/>
      <w:r>
        <w:t xml:space="preserve"> – состав движения (в долях от общего количества транспортного потока),</w:t>
      </w:r>
    </w:p>
    <w:p w:rsidR="0058409D" w:rsidRDefault="0058409D" w:rsidP="0058409D">
      <w:pPr>
        <w:spacing w:line="360" w:lineRule="auto"/>
        <w:ind w:firstLine="709"/>
        <w:jc w:val="left"/>
      </w:pPr>
      <w:r>
        <w:t>К</w:t>
      </w:r>
      <w:r>
        <w:rPr>
          <w:vertAlign w:val="subscript"/>
        </w:rPr>
        <w:t>т</w:t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 – коэффициент токсичности (по выбросу </w:t>
      </w:r>
      <w:proofErr w:type="gramStart"/>
      <w:r>
        <w:t>СО</w:t>
      </w:r>
      <w:proofErr w:type="gramEnd"/>
      <w:r>
        <w:t xml:space="preserve">) </w:t>
      </w:r>
      <w:proofErr w:type="gramStart"/>
      <w:r>
        <w:t>для</w:t>
      </w:r>
      <w:proofErr w:type="gramEnd"/>
      <w:r>
        <w:t xml:space="preserve"> каждого вида транспорта.</w:t>
      </w:r>
    </w:p>
    <w:p w:rsidR="0058409D" w:rsidRDefault="0058409D" w:rsidP="0058409D">
      <w:pPr>
        <w:spacing w:line="360" w:lineRule="auto"/>
        <w:ind w:firstLine="709"/>
        <w:jc w:val="center"/>
      </w:pPr>
      <w:r>
        <w:t xml:space="preserve">Таблица 1. Определения коэффициента токсичности по выбросам в атмосферу </w:t>
      </w:r>
      <w:proofErr w:type="gramStart"/>
      <w:r>
        <w:t>СО</w:t>
      </w:r>
      <w:proofErr w:type="gramEnd"/>
      <w:r>
        <w:t xml:space="preserve"> (К</w:t>
      </w:r>
      <w:r>
        <w:rPr>
          <w:vertAlign w:val="subscript"/>
        </w:rPr>
        <w:t>т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2395"/>
        <w:gridCol w:w="2420"/>
        <w:gridCol w:w="2263"/>
      </w:tblGrid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Тип автотранспортного средства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Количество автомобилей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Доля от общего количества транспортного потока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vertAlign w:val="subscript"/>
                <w:lang w:val="en-US"/>
              </w:rPr>
            </w:pPr>
            <w:proofErr w:type="gramStart"/>
            <w:r>
              <w:t>К</w:t>
            </w:r>
            <w:proofErr w:type="gramEnd"/>
            <w:r>
              <w:rPr>
                <w:vertAlign w:val="subscript"/>
                <w:lang w:val="en-US"/>
              </w:rPr>
              <w:t>Ti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 xml:space="preserve">Легкий грузовой (в том </w:t>
            </w:r>
            <w:proofErr w:type="gramStart"/>
            <w:r>
              <w:t>числе</w:t>
            </w:r>
            <w:proofErr w:type="gramEnd"/>
            <w:r>
              <w:t xml:space="preserve"> маршрутные такси «Газель»)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 xml:space="preserve">Средний грузовой </w:t>
            </w:r>
            <w:proofErr w:type="gramStart"/>
            <w:r>
              <w:t xml:space="preserve">( </w:t>
            </w:r>
            <w:proofErr w:type="gramEnd"/>
            <w:r>
              <w:t xml:space="preserve">в том числе </w:t>
            </w:r>
            <w:r>
              <w:lastRenderedPageBreak/>
              <w:t>такси-автобусы «ПАЗ» и иностранного производства)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lastRenderedPageBreak/>
              <w:t xml:space="preserve">Тяжелый грузовой (дизельные, в том </w:t>
            </w:r>
            <w:proofErr w:type="gramStart"/>
            <w:r>
              <w:t>числе</w:t>
            </w:r>
            <w:proofErr w:type="gramEnd"/>
            <w:r>
              <w:t xml:space="preserve"> автобусы)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proofErr w:type="gramStart"/>
            <w:r>
              <w:t>Тяжелый</w:t>
            </w:r>
            <w:proofErr w:type="gramEnd"/>
            <w:r>
              <w:t xml:space="preserve"> грузовой (с двигателем внутреннего сгорания)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Легковой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Всего автомобилей за час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</w:pPr>
            <w:r>
              <w:t>401</w:t>
            </w:r>
          </w:p>
        </w:tc>
        <w:tc>
          <w:tcPr>
            <w:tcW w:w="2476" w:type="dxa"/>
          </w:tcPr>
          <w:p w:rsidR="0058409D" w:rsidRDefault="0058409D" w:rsidP="003D2373">
            <w:pPr>
              <w:jc w:val="center"/>
            </w:pPr>
          </w:p>
        </w:tc>
        <w:tc>
          <w:tcPr>
            <w:tcW w:w="2477" w:type="dxa"/>
          </w:tcPr>
          <w:p w:rsidR="0058409D" w:rsidRDefault="0058409D" w:rsidP="003D2373">
            <w:pPr>
              <w:jc w:val="center"/>
            </w:pPr>
          </w:p>
        </w:tc>
      </w:tr>
    </w:tbl>
    <w:p w:rsidR="0058409D" w:rsidRDefault="0058409D" w:rsidP="0058409D">
      <w:pPr>
        <w:spacing w:line="360" w:lineRule="auto"/>
        <w:ind w:firstLine="709"/>
        <w:jc w:val="left"/>
      </w:pPr>
      <w:r>
        <w:t>Пример: подставив приведенные значения, получим:</w:t>
      </w:r>
    </w:p>
    <w:p w:rsidR="0058409D" w:rsidRDefault="0058409D" w:rsidP="0058409D">
      <w:pPr>
        <w:spacing w:line="360" w:lineRule="auto"/>
        <w:ind w:firstLine="709"/>
        <w:jc w:val="center"/>
      </w:pPr>
      <w:r>
        <w:t>К</w:t>
      </w:r>
      <w:r>
        <w:rPr>
          <w:vertAlign w:val="subscript"/>
        </w:rPr>
        <w:t xml:space="preserve">т </w:t>
      </w:r>
      <w:r>
        <w:t>= 0,15*2,3 + 0,1*2,9 + 0,15*0,2 + 0,05*3,7 +0,55*1,0 = 0,345+0,29+0,03+0,185+0,55 =1,4.</w:t>
      </w:r>
    </w:p>
    <w:p w:rsidR="0058409D" w:rsidRDefault="0058409D" w:rsidP="0058409D">
      <w:pPr>
        <w:spacing w:line="360" w:lineRule="auto"/>
        <w:ind w:firstLine="709"/>
        <w:jc w:val="center"/>
      </w:pPr>
    </w:p>
    <w:p w:rsidR="0058409D" w:rsidRDefault="0058409D" w:rsidP="0058409D">
      <w:pPr>
        <w:spacing w:line="360" w:lineRule="auto"/>
        <w:ind w:firstLine="709"/>
      </w:pPr>
      <w:r>
        <w:t>Значение коэффициента, учитывающего аэрацию на данном участке дороги (К</w:t>
      </w:r>
      <w:r>
        <w:rPr>
          <w:vertAlign w:val="subscript"/>
        </w:rPr>
        <w:t>А</w:t>
      </w:r>
      <w:r>
        <w:t>), определяется по следующей таблице:</w:t>
      </w:r>
    </w:p>
    <w:p w:rsidR="0058409D" w:rsidRDefault="0058409D" w:rsidP="0058409D">
      <w:pPr>
        <w:spacing w:line="360" w:lineRule="auto"/>
        <w:ind w:firstLine="709"/>
      </w:pPr>
    </w:p>
    <w:p w:rsidR="0058409D" w:rsidRDefault="0058409D" w:rsidP="0058409D">
      <w:pPr>
        <w:spacing w:line="360" w:lineRule="auto"/>
        <w:ind w:firstLine="709"/>
        <w:jc w:val="center"/>
      </w:pPr>
      <w:r>
        <w:t>Таблица 2. Зависимость аэрации конкретного участка автодороги от ее типа и типа прилегающих к ней застроек.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6"/>
        <w:gridCol w:w="1225"/>
      </w:tblGrid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>Тип участка дороги по степени аэрации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К</w:t>
            </w:r>
            <w:r>
              <w:rPr>
                <w:vertAlign w:val="subscript"/>
              </w:rPr>
              <w:t>А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>Транспортные тоннели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2,7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>Транспортные галереи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1,5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>Магистральные улицы и дороги с многоэтажной застройкой обеих сторон.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1,0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 xml:space="preserve">Жилые улицы с одноэтажной застройкой, улицы и дороги в выемке 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0,6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8602" w:type="dxa"/>
          </w:tcPr>
          <w:p w:rsidR="0058409D" w:rsidRDefault="0058409D" w:rsidP="003D2373">
            <w:pPr>
              <w:jc w:val="left"/>
            </w:pPr>
            <w:r>
              <w:t>Городские улицы и дороги с односторонней застройкой, набережные эстакады, виадуки, высокие насыпи</w:t>
            </w:r>
          </w:p>
        </w:tc>
        <w:tc>
          <w:tcPr>
            <w:tcW w:w="1252" w:type="dxa"/>
          </w:tcPr>
          <w:p w:rsidR="0058409D" w:rsidRDefault="0058409D" w:rsidP="003D2373">
            <w:pPr>
              <w:jc w:val="center"/>
            </w:pPr>
            <w:r>
              <w:t>0,4</w:t>
            </w:r>
          </w:p>
        </w:tc>
      </w:tr>
    </w:tbl>
    <w:p w:rsidR="0058409D" w:rsidRDefault="0058409D" w:rsidP="0058409D">
      <w:pPr>
        <w:spacing w:line="360" w:lineRule="auto"/>
        <w:ind w:firstLine="709"/>
      </w:pPr>
      <w:r>
        <w:t xml:space="preserve">Значение коэффициента </w:t>
      </w:r>
      <w:proofErr w:type="spellStart"/>
      <w:r>
        <w:t>К</w:t>
      </w:r>
      <w:r>
        <w:rPr>
          <w:vertAlign w:val="subscript"/>
        </w:rPr>
        <w:t>у</w:t>
      </w:r>
      <w:proofErr w:type="spellEnd"/>
      <w:r>
        <w:t>, учитывающего величину уклона дорожного полотна (в процентах) определяется по следующей таблице:</w:t>
      </w:r>
    </w:p>
    <w:p w:rsidR="0058409D" w:rsidRDefault="0058409D" w:rsidP="0058409D">
      <w:pPr>
        <w:spacing w:line="360" w:lineRule="auto"/>
        <w:ind w:firstLine="709"/>
      </w:pPr>
    </w:p>
    <w:p w:rsidR="0058409D" w:rsidRDefault="0058409D" w:rsidP="0058409D">
      <w:pPr>
        <w:spacing w:line="360" w:lineRule="auto"/>
        <w:ind w:firstLine="709"/>
      </w:pPr>
      <w:r>
        <w:t>Таблица Зависимость загрязнения воздуха окисью углерода от величины уклона дорожного полотна.</w:t>
      </w:r>
    </w:p>
    <w:p w:rsidR="0058409D" w:rsidRDefault="0058409D" w:rsidP="005840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8"/>
        <w:gridCol w:w="4763"/>
      </w:tblGrid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Продольный уклон (</w:t>
            </w:r>
            <w:proofErr w:type="spellStart"/>
            <w:proofErr w:type="gramStart"/>
            <w:r>
              <w:t>в</w:t>
            </w:r>
            <w:proofErr w:type="gramEnd"/>
            <w:r>
              <w:t>%</w:t>
            </w:r>
            <w:proofErr w:type="spellEnd"/>
            <w:r>
              <w:t>)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у</w:t>
            </w:r>
            <w:proofErr w:type="spellEnd"/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0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r>
              <w:t>1,00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2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r>
              <w:t>1,06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4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r>
              <w:t>1,07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6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r>
              <w:t>1,18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58409D" w:rsidRDefault="0058409D" w:rsidP="003D2373">
            <w:pPr>
              <w:jc w:val="center"/>
            </w:pPr>
            <w:r>
              <w:t>8</w:t>
            </w:r>
          </w:p>
        </w:tc>
        <w:tc>
          <w:tcPr>
            <w:tcW w:w="4953" w:type="dxa"/>
          </w:tcPr>
          <w:p w:rsidR="0058409D" w:rsidRDefault="0058409D" w:rsidP="003D2373">
            <w:pPr>
              <w:jc w:val="center"/>
            </w:pPr>
            <w:r>
              <w:t>1,55</w:t>
            </w:r>
          </w:p>
        </w:tc>
      </w:tr>
    </w:tbl>
    <w:p w:rsidR="0058409D" w:rsidRDefault="0058409D" w:rsidP="0058409D">
      <w:pPr>
        <w:spacing w:line="360" w:lineRule="auto"/>
        <w:ind w:firstLine="709"/>
      </w:pPr>
      <w:r>
        <w:t>Значение коэффициента К</w:t>
      </w:r>
      <w:r>
        <w:rPr>
          <w:vertAlign w:val="subscript"/>
        </w:rPr>
        <w:t>с</w:t>
      </w:r>
      <w:r>
        <w:t>, учитывающего скорость ветра, определяется по следующей таблице:</w:t>
      </w:r>
    </w:p>
    <w:p w:rsidR="0058409D" w:rsidRDefault="0058409D" w:rsidP="0058409D">
      <w:pPr>
        <w:spacing w:line="360" w:lineRule="auto"/>
        <w:ind w:firstLine="709"/>
      </w:pPr>
      <w:r>
        <w:t>Таблица 3. Зависимость изменения в воздухе концентрации окиси углерода от скорости ветра.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7"/>
        <w:gridCol w:w="4774"/>
      </w:tblGrid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 xml:space="preserve">Скорость ветра, </w:t>
            </w:r>
            <w:proofErr w:type="gramStart"/>
            <w:r>
              <w:t>м</w:t>
            </w:r>
            <w:proofErr w:type="gramEnd"/>
            <w:r>
              <w:t>/сек.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К</w:t>
            </w:r>
            <w:r>
              <w:rPr>
                <w:vertAlign w:val="subscript"/>
              </w:rPr>
              <w:t>с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1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2,70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2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2,00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3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1,50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4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1,20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5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1,05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6</w:t>
            </w:r>
          </w:p>
        </w:tc>
        <w:tc>
          <w:tcPr>
            <w:tcW w:w="4927" w:type="dxa"/>
          </w:tcPr>
          <w:p w:rsidR="0058409D" w:rsidRDefault="0058409D" w:rsidP="003D2373">
            <w:pPr>
              <w:jc w:val="center"/>
            </w:pPr>
            <w:r>
              <w:t>1,00</w:t>
            </w:r>
          </w:p>
        </w:tc>
      </w:tr>
    </w:tbl>
    <w:p w:rsidR="0058409D" w:rsidRDefault="0058409D" w:rsidP="0058409D">
      <w:pPr>
        <w:spacing w:line="360" w:lineRule="auto"/>
        <w:ind w:firstLine="709"/>
      </w:pPr>
      <w:r>
        <w:t>Значение коэффициента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в</w:t>
      </w:r>
      <w:proofErr w:type="spellEnd"/>
      <w:r>
        <w:t xml:space="preserve">, учитывающего относительную влажность воздуха, определяется по следующей таблице: </w:t>
      </w:r>
    </w:p>
    <w:p w:rsidR="0058409D" w:rsidRDefault="0058409D" w:rsidP="0058409D">
      <w:pPr>
        <w:spacing w:line="360" w:lineRule="auto"/>
        <w:ind w:firstLine="709"/>
      </w:pPr>
      <w:r>
        <w:t>Таблица 4. Зависимость изменения в воздухе концентрации окиси углерода от относительной влажности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2"/>
        <w:gridCol w:w="4759"/>
      </w:tblGrid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Относительная влажность воздуха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4927" w:type="dxa"/>
          </w:tcPr>
          <w:p w:rsidR="0058409D" w:rsidRDefault="0058409D" w:rsidP="003D2373">
            <w:proofErr w:type="spellStart"/>
            <w:r>
              <w:t>К</w:t>
            </w:r>
            <w:r>
              <w:rPr>
                <w:vertAlign w:val="subscript"/>
              </w:rPr>
              <w:t>в</w:t>
            </w:r>
            <w:proofErr w:type="spellEnd"/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100</w:t>
            </w:r>
          </w:p>
        </w:tc>
        <w:tc>
          <w:tcPr>
            <w:tcW w:w="4927" w:type="dxa"/>
          </w:tcPr>
          <w:p w:rsidR="0058409D" w:rsidRDefault="0058409D" w:rsidP="003D2373">
            <w:r>
              <w:t>1,45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90</w:t>
            </w:r>
          </w:p>
        </w:tc>
        <w:tc>
          <w:tcPr>
            <w:tcW w:w="4927" w:type="dxa"/>
          </w:tcPr>
          <w:p w:rsidR="0058409D" w:rsidRDefault="0058409D" w:rsidP="003D2373">
            <w:r>
              <w:t>1,30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80</w:t>
            </w:r>
          </w:p>
        </w:tc>
        <w:tc>
          <w:tcPr>
            <w:tcW w:w="4927" w:type="dxa"/>
          </w:tcPr>
          <w:p w:rsidR="0058409D" w:rsidRDefault="0058409D" w:rsidP="003D2373">
            <w:r>
              <w:t>1,15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70</w:t>
            </w:r>
          </w:p>
        </w:tc>
        <w:tc>
          <w:tcPr>
            <w:tcW w:w="4927" w:type="dxa"/>
          </w:tcPr>
          <w:p w:rsidR="0058409D" w:rsidRDefault="0058409D" w:rsidP="003D2373">
            <w:r>
              <w:t>1,00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60</w:t>
            </w:r>
          </w:p>
        </w:tc>
        <w:tc>
          <w:tcPr>
            <w:tcW w:w="4927" w:type="dxa"/>
          </w:tcPr>
          <w:p w:rsidR="0058409D" w:rsidRDefault="0058409D" w:rsidP="003D2373">
            <w:r>
              <w:t>0,85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50</w:t>
            </w:r>
          </w:p>
        </w:tc>
        <w:tc>
          <w:tcPr>
            <w:tcW w:w="4927" w:type="dxa"/>
          </w:tcPr>
          <w:p w:rsidR="0058409D" w:rsidRDefault="0058409D" w:rsidP="003D2373">
            <w:r>
              <w:t>0,75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58409D" w:rsidRDefault="0058409D" w:rsidP="003D2373">
            <w:r>
              <w:t>40</w:t>
            </w:r>
          </w:p>
        </w:tc>
        <w:tc>
          <w:tcPr>
            <w:tcW w:w="4927" w:type="dxa"/>
          </w:tcPr>
          <w:p w:rsidR="0058409D" w:rsidRDefault="0058409D" w:rsidP="003D2373">
            <w:r>
              <w:t>0,60</w:t>
            </w:r>
          </w:p>
        </w:tc>
      </w:tr>
    </w:tbl>
    <w:p w:rsidR="0058409D" w:rsidRDefault="0058409D" w:rsidP="0058409D">
      <w:pPr>
        <w:spacing w:line="360" w:lineRule="auto"/>
        <w:ind w:firstLine="709"/>
      </w:pPr>
      <w:r>
        <w:t xml:space="preserve"> Значение коэффициента 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t>, учитывающего зависимость концентрации окиси углерода от типа пересечения дорог, определяется по следующей таблице:</w:t>
      </w:r>
    </w:p>
    <w:p w:rsidR="0058409D" w:rsidRDefault="0058409D" w:rsidP="0058409D">
      <w:pPr>
        <w:spacing w:line="360" w:lineRule="auto"/>
        <w:ind w:firstLine="709"/>
      </w:pPr>
      <w:r>
        <w:t>Таблица 5. Зависимость изменения в воздухе концентрации окиси углерода от типа пересечения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6"/>
        <w:gridCol w:w="2977"/>
      </w:tblGrid>
      <w:tr w:rsidR="0058409D" w:rsidTr="003D23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36" w:type="dxa"/>
          </w:tcPr>
          <w:p w:rsidR="0058409D" w:rsidRDefault="0058409D" w:rsidP="003D2373">
            <w:r>
              <w:t>Тип движения и пересечения дорог</w:t>
            </w:r>
          </w:p>
        </w:tc>
        <w:tc>
          <w:tcPr>
            <w:tcW w:w="2977" w:type="dxa"/>
          </w:tcPr>
          <w:p w:rsidR="0058409D" w:rsidRDefault="0058409D" w:rsidP="003D2373">
            <w:pPr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536" w:type="dxa"/>
          </w:tcPr>
          <w:p w:rsidR="0058409D" w:rsidRDefault="0058409D" w:rsidP="003D2373">
            <w:r>
              <w:lastRenderedPageBreak/>
              <w:t>Регулируемое:</w:t>
            </w:r>
          </w:p>
          <w:p w:rsidR="0058409D" w:rsidRDefault="0058409D" w:rsidP="0058409D">
            <w:pPr>
              <w:numPr>
                <w:ilvl w:val="0"/>
                <w:numId w:val="1"/>
              </w:numPr>
            </w:pPr>
            <w:r>
              <w:t>светофорами автоматически</w:t>
            </w:r>
          </w:p>
          <w:p w:rsidR="0058409D" w:rsidRDefault="0058409D" w:rsidP="0058409D">
            <w:pPr>
              <w:numPr>
                <w:ilvl w:val="0"/>
                <w:numId w:val="1"/>
              </w:numPr>
            </w:pPr>
            <w:r>
              <w:t>светофорами управляемыми</w:t>
            </w:r>
          </w:p>
        </w:tc>
        <w:tc>
          <w:tcPr>
            <w:tcW w:w="2977" w:type="dxa"/>
          </w:tcPr>
          <w:p w:rsidR="0058409D" w:rsidRDefault="0058409D" w:rsidP="003D2373">
            <w:pPr>
              <w:jc w:val="center"/>
            </w:pPr>
          </w:p>
          <w:p w:rsidR="0058409D" w:rsidRDefault="0058409D" w:rsidP="003D2373">
            <w:pPr>
              <w:jc w:val="center"/>
            </w:pPr>
            <w:r>
              <w:t>1,8</w:t>
            </w:r>
          </w:p>
          <w:p w:rsidR="0058409D" w:rsidRDefault="0058409D" w:rsidP="003D2373">
            <w:pPr>
              <w:jc w:val="center"/>
            </w:pPr>
            <w:r>
              <w:t>2,1</w:t>
            </w:r>
          </w:p>
        </w:tc>
      </w:tr>
      <w:tr w:rsidR="0058409D" w:rsidTr="003D2373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5536" w:type="dxa"/>
          </w:tcPr>
          <w:p w:rsidR="0058409D" w:rsidRDefault="0058409D" w:rsidP="003D2373">
            <w:r>
              <w:t>Нерегулируемое:</w:t>
            </w:r>
          </w:p>
          <w:p w:rsidR="0058409D" w:rsidRDefault="0058409D" w:rsidP="003D2373">
            <w:r>
              <w:t>Обычный перекресток</w:t>
            </w:r>
          </w:p>
          <w:p w:rsidR="0058409D" w:rsidRDefault="0058409D" w:rsidP="003D2373">
            <w:r>
              <w:t>С круговым движением</w:t>
            </w:r>
          </w:p>
          <w:p w:rsidR="0058409D" w:rsidRDefault="0058409D" w:rsidP="003D2373">
            <w:r>
              <w:t>С обязательной остановкой</w:t>
            </w:r>
          </w:p>
        </w:tc>
        <w:tc>
          <w:tcPr>
            <w:tcW w:w="2977" w:type="dxa"/>
          </w:tcPr>
          <w:p w:rsidR="0058409D" w:rsidRDefault="0058409D" w:rsidP="003D2373">
            <w:pPr>
              <w:jc w:val="center"/>
            </w:pPr>
          </w:p>
          <w:p w:rsidR="0058409D" w:rsidRDefault="0058409D" w:rsidP="003D2373">
            <w:pPr>
              <w:jc w:val="center"/>
            </w:pPr>
            <w:r>
              <w:t>1,9</w:t>
            </w:r>
          </w:p>
          <w:p w:rsidR="0058409D" w:rsidRDefault="0058409D" w:rsidP="003D2373">
            <w:pPr>
              <w:jc w:val="center"/>
            </w:pPr>
            <w:r>
              <w:t>2,2</w:t>
            </w:r>
          </w:p>
          <w:p w:rsidR="0058409D" w:rsidRDefault="0058409D" w:rsidP="003D2373">
            <w:pPr>
              <w:jc w:val="center"/>
            </w:pPr>
            <w:r>
              <w:t>3,0</w:t>
            </w:r>
          </w:p>
        </w:tc>
      </w:tr>
    </w:tbl>
    <w:p w:rsidR="0058409D" w:rsidRDefault="0058409D" w:rsidP="0058409D">
      <w:pPr>
        <w:pStyle w:val="2"/>
        <w:spacing w:line="360" w:lineRule="auto"/>
        <w:ind w:firstLine="709"/>
      </w:pPr>
      <w:r>
        <w:t xml:space="preserve">Подставьте коэффициенты, соответствующие условиям ваших исследований в приведенную выше формулу </w:t>
      </w:r>
    </w:p>
    <w:p w:rsidR="0058409D" w:rsidRDefault="0058409D" w:rsidP="0058409D">
      <w:pPr>
        <w:spacing w:line="360" w:lineRule="auto"/>
        <w:ind w:firstLine="709"/>
      </w:pPr>
      <w:proofErr w:type="spellStart"/>
      <w:r>
        <w:t>К</w:t>
      </w:r>
      <w:r>
        <w:rPr>
          <w:vertAlign w:val="subscript"/>
        </w:rPr>
        <w:t>со</w:t>
      </w:r>
      <w:proofErr w:type="spellEnd"/>
      <w:r>
        <w:t xml:space="preserve"> = (0,5+0,01</w:t>
      </w:r>
      <w:r>
        <w:rPr>
          <w:lang w:val="en-US"/>
        </w:rPr>
        <w:t>N</w:t>
      </w:r>
      <w:r>
        <w:t>*К</w:t>
      </w:r>
      <w:r>
        <w:rPr>
          <w:vertAlign w:val="subscript"/>
        </w:rPr>
        <w:t>т</w:t>
      </w:r>
      <w:r>
        <w:t>) * К</w:t>
      </w:r>
      <w:r>
        <w:rPr>
          <w:vertAlign w:val="subscript"/>
        </w:rPr>
        <w:t>Д</w:t>
      </w:r>
      <w:r>
        <w:t>*</w:t>
      </w:r>
      <w:proofErr w:type="spellStart"/>
      <w:r>
        <w:t>К</w:t>
      </w:r>
      <w:r>
        <w:rPr>
          <w:vertAlign w:val="subscript"/>
        </w:rPr>
        <w:t>у</w:t>
      </w:r>
      <w:proofErr w:type="spellEnd"/>
      <w:r>
        <w:t>*К</w:t>
      </w:r>
      <w:r>
        <w:rPr>
          <w:vertAlign w:val="subscript"/>
        </w:rPr>
        <w:t>с</w:t>
      </w:r>
      <w:proofErr w:type="gramStart"/>
      <w:r>
        <w:t>*</w:t>
      </w:r>
      <w:proofErr w:type="spellStart"/>
      <w:r>
        <w:t>К</w:t>
      </w:r>
      <w:proofErr w:type="gramEnd"/>
      <w:r>
        <w:rPr>
          <w:vertAlign w:val="subscript"/>
        </w:rPr>
        <w:t>в</w:t>
      </w:r>
      <w:proofErr w:type="spellEnd"/>
      <w:r>
        <w:t>*</w:t>
      </w:r>
      <w:proofErr w:type="spellStart"/>
      <w:r>
        <w:t>К</w:t>
      </w:r>
      <w:r>
        <w:rPr>
          <w:vertAlign w:val="subscript"/>
        </w:rPr>
        <w:t>п</w:t>
      </w:r>
      <w:proofErr w:type="spellEnd"/>
      <w:r>
        <w:t xml:space="preserve">, где </w:t>
      </w:r>
      <w:r>
        <w:rPr>
          <w:lang w:val="en-US"/>
        </w:rPr>
        <w:t>N</w:t>
      </w:r>
      <w:r>
        <w:t xml:space="preserve"> = количеству всех видов транспортных средств, последовавших мимо вашего пункта наблюдения за 1 час.</w:t>
      </w:r>
    </w:p>
    <w:p w:rsidR="0058409D" w:rsidRDefault="0058409D" w:rsidP="0058409D">
      <w:pPr>
        <w:spacing w:line="360" w:lineRule="auto"/>
        <w:ind w:firstLine="709"/>
        <w:jc w:val="left"/>
      </w:pPr>
      <w:r>
        <w:t xml:space="preserve">В нашем случае мы получаем </w:t>
      </w:r>
      <w:proofErr w:type="spellStart"/>
      <w:r>
        <w:t>К</w:t>
      </w:r>
      <w:r>
        <w:rPr>
          <w:vertAlign w:val="subscript"/>
        </w:rPr>
        <w:t>со</w:t>
      </w:r>
      <w:r>
        <w:t>=</w:t>
      </w:r>
      <w:proofErr w:type="spellEnd"/>
      <w:r>
        <w:t>(0,5*0,01*401*1,4)*1,0*1,18*1,5*1,15*2,2 = 27,38 мг/м</w:t>
      </w:r>
      <w:r>
        <w:rPr>
          <w:vertAlign w:val="superscript"/>
        </w:rPr>
        <w:t>3</w:t>
      </w:r>
      <w:r>
        <w:t>.</w:t>
      </w:r>
    </w:p>
    <w:p w:rsidR="0058409D" w:rsidRDefault="0058409D" w:rsidP="0058409D">
      <w:pPr>
        <w:spacing w:line="360" w:lineRule="auto"/>
        <w:ind w:firstLine="709"/>
      </w:pPr>
      <w:r>
        <w:t>Учитывая тот факт, что ПДК оксида углерода (</w:t>
      </w:r>
      <w:proofErr w:type="gramStart"/>
      <w:r>
        <w:t>СО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приземном слое атмосферного воздуха в городах РФ равен 3 мг/м</w:t>
      </w:r>
      <w:r>
        <w:rPr>
          <w:vertAlign w:val="superscript"/>
        </w:rPr>
        <w:t>3</w:t>
      </w:r>
      <w:r>
        <w:t>, то в нашем примере показатель ПДК превышен более чем в 9 раз.</w:t>
      </w:r>
    </w:p>
    <w:p w:rsidR="0058409D" w:rsidRDefault="0058409D" w:rsidP="0058409D">
      <w:pPr>
        <w:spacing w:line="360" w:lineRule="auto"/>
        <w:ind w:firstLine="709"/>
      </w:pPr>
      <w:r>
        <w:t xml:space="preserve">По завершению вычислений </w:t>
      </w:r>
      <w:proofErr w:type="spellStart"/>
      <w:r>
        <w:t>студнты</w:t>
      </w:r>
      <w:proofErr w:type="spellEnd"/>
      <w:r>
        <w:t xml:space="preserve"> анализируют полученные данные и предлагают возможные пути улучшения качества атмосферного  воздуха в г</w:t>
      </w:r>
      <w:proofErr w:type="gramStart"/>
      <w:r>
        <w:t>.К</w:t>
      </w:r>
      <w:proofErr w:type="gramEnd"/>
      <w:r>
        <w:t>азань.</w:t>
      </w:r>
    </w:p>
    <w:p w:rsidR="001D62DE" w:rsidRDefault="001D62DE"/>
    <w:sectPr w:rsidR="001D62DE" w:rsidSect="001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35C"/>
    <w:multiLevelType w:val="hybridMultilevel"/>
    <w:tmpl w:val="A7B68564"/>
    <w:lvl w:ilvl="0" w:tplc="7B96C8D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9D"/>
    <w:rsid w:val="001D62DE"/>
    <w:rsid w:val="005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58409D"/>
    <w:pPr>
      <w:ind w:firstLine="708"/>
    </w:pPr>
  </w:style>
  <w:style w:type="character" w:customStyle="1" w:styleId="20">
    <w:name w:val="Основной текст с отступом 2 Знак"/>
    <w:basedOn w:val="a0"/>
    <w:link w:val="2"/>
    <w:rsid w:val="005840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2014-02-06T06:21:00Z</dcterms:created>
  <dcterms:modified xsi:type="dcterms:W3CDTF">2014-02-06T06:23:00Z</dcterms:modified>
</cp:coreProperties>
</file>