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2C" w:rsidRPr="00F735C8" w:rsidRDefault="00504E2C" w:rsidP="00504E2C">
      <w:pPr>
        <w:jc w:val="center"/>
        <w:rPr>
          <w:b/>
          <w:sz w:val="32"/>
          <w:szCs w:val="28"/>
        </w:rPr>
      </w:pPr>
      <w:r w:rsidRPr="00F735C8">
        <w:rPr>
          <w:b/>
          <w:sz w:val="32"/>
          <w:szCs w:val="28"/>
        </w:rPr>
        <w:t xml:space="preserve">Лекция №3 Общее представление об </w:t>
      </w:r>
      <w:proofErr w:type="gramStart"/>
      <w:r w:rsidRPr="00F735C8">
        <w:rPr>
          <w:b/>
          <w:sz w:val="32"/>
          <w:szCs w:val="28"/>
        </w:rPr>
        <w:t>одномерном</w:t>
      </w:r>
      <w:proofErr w:type="gramEnd"/>
      <w:r w:rsidRPr="00F735C8">
        <w:rPr>
          <w:b/>
          <w:sz w:val="32"/>
          <w:szCs w:val="28"/>
        </w:rPr>
        <w:t xml:space="preserve"> </w:t>
      </w:r>
      <w:proofErr w:type="spellStart"/>
      <w:r w:rsidRPr="00F735C8">
        <w:rPr>
          <w:b/>
          <w:sz w:val="32"/>
          <w:szCs w:val="28"/>
        </w:rPr>
        <w:t>шкалировании</w:t>
      </w:r>
      <w:proofErr w:type="spellEnd"/>
      <w:r w:rsidRPr="00F735C8">
        <w:rPr>
          <w:b/>
          <w:sz w:val="32"/>
          <w:szCs w:val="28"/>
        </w:rPr>
        <w:t>.</w:t>
      </w:r>
    </w:p>
    <w:p w:rsidR="00504E2C" w:rsidRPr="00F735C8" w:rsidRDefault="00504E2C" w:rsidP="00504E2C">
      <w:pPr>
        <w:rPr>
          <w:b/>
          <w:sz w:val="28"/>
          <w:szCs w:val="28"/>
        </w:rPr>
      </w:pPr>
    </w:p>
    <w:p w:rsidR="00504E2C" w:rsidRPr="00F735C8" w:rsidRDefault="00504E2C" w:rsidP="00504E2C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Эмпирическая и математическая системы. </w:t>
      </w:r>
    </w:p>
    <w:p w:rsidR="00504E2C" w:rsidRPr="00F735C8" w:rsidRDefault="00504E2C" w:rsidP="00504E2C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Измерение. </w:t>
      </w:r>
    </w:p>
    <w:p w:rsidR="00504E2C" w:rsidRPr="00F735C8" w:rsidRDefault="00504E2C" w:rsidP="00504E2C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Шкала как алгоритм отображения эмпирической системы в </w:t>
      </w:r>
      <w:proofErr w:type="gramStart"/>
      <w:r w:rsidRPr="00F735C8">
        <w:rPr>
          <w:sz w:val="28"/>
          <w:szCs w:val="28"/>
        </w:rPr>
        <w:t>числовую</w:t>
      </w:r>
      <w:proofErr w:type="gramEnd"/>
      <w:r w:rsidRPr="00F735C8">
        <w:rPr>
          <w:sz w:val="28"/>
          <w:szCs w:val="28"/>
        </w:rPr>
        <w:t xml:space="preserve">. </w:t>
      </w:r>
    </w:p>
    <w:p w:rsidR="00504E2C" w:rsidRPr="00F735C8" w:rsidRDefault="00504E2C" w:rsidP="00504E2C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Одномерное </w:t>
      </w:r>
      <w:proofErr w:type="spellStart"/>
      <w:r w:rsidRPr="00F735C8">
        <w:rPr>
          <w:sz w:val="28"/>
          <w:szCs w:val="28"/>
        </w:rPr>
        <w:t>шкалирование</w:t>
      </w:r>
      <w:proofErr w:type="spellEnd"/>
      <w:r w:rsidRPr="00F735C8">
        <w:rPr>
          <w:sz w:val="28"/>
          <w:szCs w:val="28"/>
        </w:rPr>
        <w:t xml:space="preserve">. </w:t>
      </w:r>
    </w:p>
    <w:p w:rsidR="00504E2C" w:rsidRPr="00F735C8" w:rsidRDefault="00504E2C" w:rsidP="00504E2C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 xml:space="preserve">Модель восприятия. </w:t>
      </w:r>
    </w:p>
    <w:p w:rsidR="00504E2C" w:rsidRPr="00F735C8" w:rsidRDefault="00504E2C" w:rsidP="00504E2C">
      <w:pPr>
        <w:numPr>
          <w:ilvl w:val="0"/>
          <w:numId w:val="2"/>
        </w:numPr>
        <w:rPr>
          <w:sz w:val="28"/>
          <w:szCs w:val="28"/>
        </w:rPr>
      </w:pPr>
      <w:r w:rsidRPr="00F735C8">
        <w:rPr>
          <w:sz w:val="28"/>
          <w:szCs w:val="28"/>
        </w:rPr>
        <w:t>Установочные и оценочные шкалы.</w:t>
      </w:r>
    </w:p>
    <w:p w:rsidR="00504E2C" w:rsidRPr="00F735C8" w:rsidRDefault="00504E2C" w:rsidP="00504E2C">
      <w:pPr>
        <w:pStyle w:val="a3"/>
        <w:spacing w:before="0" w:after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04E2C" w:rsidRPr="00F735C8" w:rsidRDefault="00504E2C" w:rsidP="00504E2C">
      <w:pPr>
        <w:pStyle w:val="a3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Назовем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эмпирической системой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(ЭС) интересующую исследователя совокупность реальных (эмпирических) объектов с выделенными соотношениями между ними.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Последние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часто можно выразить в виде некоторых отношений между объектами (любое отношение есть соотношение, но не наоборот), и тогда говорят об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эмпирической системе с отношениями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(ЭСО).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Пример ЭСО - совокупность сотрудников какого-то завода, рассматриваемых как "носителей" удовлетворенности своим трудом с заданным бинарным (т.е. определенным на парах объектов) отношением: "респондент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 xml:space="preserve"> А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больше удовлетворен работой, чем респондент Б". Для одних пар это отношение может выполняться, для других нет. Но мы полагаем, что, каких бы респондентов мы ни взяли, разговор о выполнении этого отношения будет осмысленным (ниже мы будем подробнее обсуждать вопрос о подобной осмысленности). Подчеркнем, что ЭС отражает представление исследователя об изучаемой реальности, процесс ее формирования по существу является моделированием (подробнее об этом пойдет речь ниже;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см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>. также [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Бородкин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, Миркин, 1972;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Клигер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и др., 1978]). С учетом этого ЭС можно считать фрагментом реальности.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Назовем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математической системой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(МС) совокупность математических объектов (чаще всего в качестве таковых выступают числа и тогда МС называется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числовой)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с выделенными соотношениями между ними. Когда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последние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задаются в виде некоторых отношений между объектами, говорят о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математической системе с отношениями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или о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числовой системе с отношениями </w:t>
      </w:r>
      <w:r w:rsidRPr="00F735C8">
        <w:rPr>
          <w:rFonts w:ascii="Times New Roman" w:hAnsi="Times New Roman"/>
          <w:color w:val="auto"/>
          <w:sz w:val="28"/>
          <w:szCs w:val="28"/>
        </w:rPr>
        <w:t>(МСО и ЧСО). Примеры ЧСО приведены ниже.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Теперь о нашем ключевом понятии.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Будем понимать под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735C8">
        <w:rPr>
          <w:rFonts w:ascii="Times New Roman" w:hAnsi="Times New Roman"/>
          <w:color w:val="auto"/>
          <w:sz w:val="28"/>
          <w:szCs w:val="28"/>
        </w:rPr>
        <w:t>отображение некоторой ЭС в МС.</w:t>
      </w:r>
      <w:proofErr w:type="gramEnd"/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Подчеркнем, что измерение - это всегда моделирование и осуществляется оно как бы в два этапа: сначала мы строим ЭС, затем математическую модель этой системы. Цель такого моделирования - обеспечение возможности использования математики для решения социологических задач.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lastRenderedPageBreak/>
        <w:tab/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>Шкалой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мы будем называть правило, определяющее, каким образом в процессе измерения каждому изучаемому объекту ставится в соответствие некоторое число или другой математический конструкт. Каждый такой конструкт будем называть результатом измерения объекта, или его шкальным значением. Иногда, в соответствии с традицией, шкалой будем называть совокупность шкальных значений объектов изучаемой ЭС. Процесс получения шкальных значений назовем</w:t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>шкалированием</w:t>
      </w:r>
      <w:proofErr w:type="spellEnd"/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Нередко понятие шкалы связывают только с использованием числовых МС.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>Установочными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называют шкалы, с помощью которых числа приписываются самим респондентам (а не оцениваемым ими объектам). При использовании такой шкалы речь чаще всего идет об измерении установки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последних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. Правда, под установкой здесь может пониматься не совсем то, для обозначения чего используется этот термин в социальной психологии (здесь мы отвлекаемся от разных нюансов его понимания, отождествляя, например, установку с аттитюдом и т.д.; об упомянутых нюансах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см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>. [Андреева, 1994, с. 254; Дилигенский, 1996, с. 154]). Скажем, мы будем полагать, что по установочной шкале измеряется возраст респондента.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 xml:space="preserve">В социологии часто используются некорректные установочные шкалы. Так, не всегда позволяют достичь порядкового уровня измерения традиционные шкалы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>ятичленки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 xml:space="preserve"> типа описанной выше шкалы для измерения удовлетворенности работой: нетрудно понять, что соотношение вида 3 &lt; 5 иногда не может интерпретироваться как соответствующее различие эмоционального отношения к работе "стоящих" за числами респондентов. Причины подобных явлений могут быть разными - например, обусловленная национально-культурными особенностями респондентов разница их восприятия анкетных вопросов [Ермолаева, 1990].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</w:r>
      <w:r w:rsidRPr="00F735C8">
        <w:rPr>
          <w:rFonts w:ascii="Times New Roman" w:hAnsi="Times New Roman"/>
          <w:b/>
          <w:bCs/>
          <w:color w:val="auto"/>
          <w:sz w:val="28"/>
          <w:szCs w:val="28"/>
        </w:rPr>
        <w:t>Оценочными</w:t>
      </w:r>
      <w:r w:rsidRPr="00F735C8">
        <w:rPr>
          <w:rFonts w:ascii="Times New Roman" w:hAnsi="Times New Roman"/>
          <w:color w:val="auto"/>
          <w:sz w:val="28"/>
          <w:szCs w:val="28"/>
        </w:rPr>
        <w:t xml:space="preserve"> называют такие шкалы, итогом "действия" которых является приписывание чисел не респондентам, а некоторым объектам (суждениям, ценностям, проблемам и т.д.); при этом предполагается, что полученные числа отражают усредненное мнение интересующей исследователя совокупности респондентов об этих объектах.</w:t>
      </w:r>
    </w:p>
    <w:p w:rsidR="00504E2C" w:rsidRPr="00F735C8" w:rsidRDefault="00504E2C" w:rsidP="00504E2C">
      <w:pPr>
        <w:pStyle w:val="a3"/>
        <w:spacing w:before="0" w:after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ab/>
        <w:t>Многие традиционные способы получения оценочных шкал тоже не являются корректными. Так, при разных способах опроса объекты, указываемые респондентами как самые значимые, могут быть различными. Приведем пример. Авторы статьи [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Согомонов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, Толстых, 1989], пытаясь выявить, какие социально-экономические проблемы более всего волнуют респондентов, обратились к ним в анкете несколько раз, по-разному сформулировав соответствующий вопрос (просили отметить одну, самую острую проблему, несколько наиболее актуальных проблем и т.д.) и... получили противоречащие друг другу результаты.</w:t>
      </w:r>
    </w:p>
    <w:p w:rsidR="00504E2C" w:rsidRPr="00F735C8" w:rsidRDefault="00504E2C" w:rsidP="00504E2C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04E2C" w:rsidRPr="00F735C8" w:rsidRDefault="00504E2C" w:rsidP="00504E2C">
      <w:pPr>
        <w:suppressAutoHyphens/>
        <w:outlineLvl w:val="0"/>
        <w:rPr>
          <w:b/>
          <w:sz w:val="28"/>
        </w:rPr>
      </w:pPr>
    </w:p>
    <w:p w:rsidR="00504E2C" w:rsidRPr="00F735C8" w:rsidRDefault="00504E2C" w:rsidP="00504E2C">
      <w:pPr>
        <w:suppressAutoHyphens/>
        <w:outlineLvl w:val="0"/>
        <w:rPr>
          <w:b/>
          <w:sz w:val="28"/>
        </w:rPr>
      </w:pPr>
      <w:r w:rsidRPr="00F735C8">
        <w:rPr>
          <w:b/>
          <w:sz w:val="28"/>
        </w:rPr>
        <w:t>Вопросы домашнего задания:</w:t>
      </w:r>
    </w:p>
    <w:p w:rsidR="00504E2C" w:rsidRPr="00F735C8" w:rsidRDefault="00504E2C" w:rsidP="00504E2C">
      <w:pPr>
        <w:suppressAutoHyphens/>
        <w:outlineLvl w:val="0"/>
        <w:rPr>
          <w:b/>
          <w:sz w:val="28"/>
          <w:szCs w:val="28"/>
        </w:rPr>
      </w:pPr>
    </w:p>
    <w:p w:rsidR="00504E2C" w:rsidRPr="00F735C8" w:rsidRDefault="00504E2C" w:rsidP="00504E2C">
      <w:pPr>
        <w:pStyle w:val="a3"/>
        <w:numPr>
          <w:ilvl w:val="0"/>
          <w:numId w:val="1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Нарисуйте принципиальную схему </w:t>
      </w:r>
      <w:proofErr w:type="gramStart"/>
      <w:r w:rsidRPr="00F735C8">
        <w:rPr>
          <w:rFonts w:ascii="Times New Roman" w:hAnsi="Times New Roman"/>
          <w:color w:val="auto"/>
          <w:sz w:val="28"/>
          <w:szCs w:val="28"/>
        </w:rPr>
        <w:t>одномерного</w:t>
      </w:r>
      <w:proofErr w:type="gramEnd"/>
      <w:r w:rsidRPr="00F735C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шкалирования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.</w:t>
      </w:r>
    </w:p>
    <w:p w:rsidR="00504E2C" w:rsidRPr="00F735C8" w:rsidRDefault="00504E2C" w:rsidP="00504E2C">
      <w:pPr>
        <w:pStyle w:val="a3"/>
        <w:numPr>
          <w:ilvl w:val="0"/>
          <w:numId w:val="1"/>
        </w:numPr>
        <w:spacing w:before="0" w:after="0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 xml:space="preserve">За счет чего можно повысить адекватность процесса </w:t>
      </w:r>
      <w:proofErr w:type="spellStart"/>
      <w:r w:rsidRPr="00F735C8">
        <w:rPr>
          <w:rFonts w:ascii="Times New Roman" w:hAnsi="Times New Roman"/>
          <w:color w:val="auto"/>
          <w:sz w:val="28"/>
          <w:szCs w:val="28"/>
        </w:rPr>
        <w:t>шкалирования</w:t>
      </w:r>
      <w:proofErr w:type="spellEnd"/>
      <w:r w:rsidRPr="00F735C8">
        <w:rPr>
          <w:rFonts w:ascii="Times New Roman" w:hAnsi="Times New Roman"/>
          <w:color w:val="auto"/>
          <w:sz w:val="28"/>
          <w:szCs w:val="28"/>
        </w:rPr>
        <w:t>?</w:t>
      </w:r>
    </w:p>
    <w:p w:rsidR="00504E2C" w:rsidRPr="00F735C8" w:rsidRDefault="00504E2C" w:rsidP="00504E2C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04E2C" w:rsidRPr="00F735C8" w:rsidRDefault="00504E2C" w:rsidP="00504E2C">
      <w:pPr>
        <w:suppressAutoHyphens/>
        <w:outlineLvl w:val="0"/>
        <w:rPr>
          <w:sz w:val="28"/>
        </w:rPr>
      </w:pPr>
    </w:p>
    <w:p w:rsidR="00504E2C" w:rsidRPr="00F735C8" w:rsidRDefault="00504E2C" w:rsidP="00504E2C">
      <w:pPr>
        <w:suppressAutoHyphens/>
        <w:outlineLvl w:val="0"/>
        <w:rPr>
          <w:b/>
          <w:sz w:val="28"/>
        </w:rPr>
      </w:pPr>
      <w:r w:rsidRPr="00F735C8">
        <w:rPr>
          <w:b/>
          <w:sz w:val="28"/>
        </w:rPr>
        <w:t>Рекомендуемая литература:</w:t>
      </w:r>
    </w:p>
    <w:p w:rsidR="00504E2C" w:rsidRPr="00F735C8" w:rsidRDefault="00504E2C" w:rsidP="00504E2C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04E2C" w:rsidRPr="00F735C8" w:rsidRDefault="00504E2C" w:rsidP="00504E2C">
      <w:pPr>
        <w:pStyle w:val="a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735C8">
        <w:rPr>
          <w:rFonts w:ascii="Times New Roman" w:hAnsi="Times New Roman"/>
          <w:color w:val="auto"/>
          <w:sz w:val="28"/>
          <w:szCs w:val="28"/>
        </w:rPr>
        <w:t>1. Толстова Ю.Н. Измерение в социологии. М., 2007 С.40-43.</w:t>
      </w:r>
    </w:p>
    <w:p w:rsidR="00A83968" w:rsidRDefault="00A83968"/>
    <w:sectPr w:rsidR="00A83968" w:rsidSect="00A8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4C0"/>
    <w:multiLevelType w:val="hybridMultilevel"/>
    <w:tmpl w:val="EAAC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56FA9"/>
    <w:multiLevelType w:val="hybridMultilevel"/>
    <w:tmpl w:val="D2F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2C"/>
    <w:rsid w:val="00504E2C"/>
    <w:rsid w:val="00A8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E2C"/>
    <w:pPr>
      <w:spacing w:before="140" w:after="280"/>
      <w:ind w:left="280" w:right="280"/>
      <w:jc w:val="both"/>
    </w:pPr>
    <w:rPr>
      <w:rFonts w:ascii="Verdana" w:hAnsi="Verdana"/>
      <w:color w:val="4F3D2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2014-05-29T19:01:00Z</dcterms:created>
  <dcterms:modified xsi:type="dcterms:W3CDTF">2014-05-29T19:10:00Z</dcterms:modified>
</cp:coreProperties>
</file>