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7" w:rsidRDefault="00505717" w:rsidP="00505717">
      <w:pPr>
        <w:shd w:val="clear" w:color="auto" w:fill="FFFFFF"/>
        <w:tabs>
          <w:tab w:val="left" w:pos="9781"/>
          <w:tab w:val="left" w:pos="9923"/>
          <w:tab w:val="left" w:pos="10206"/>
        </w:tabs>
        <w:ind w:right="567"/>
        <w:jc w:val="center"/>
        <w:rPr>
          <w:color w:val="323232"/>
          <w:spacing w:val="-3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>МОДУЛЬ 4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pacing w:val="3"/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Текущая стоимость будущих периодических доходов от деятельности предприятия определяется: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Путем дисконтирования потоков денежных средств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Путем суммирования периодических доходов за весь период владения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С</w:t>
      </w:r>
      <w:proofErr w:type="gramEnd"/>
      <w:r>
        <w:rPr>
          <w:color w:val="000000"/>
          <w:sz w:val="24"/>
        </w:rPr>
        <w:t xml:space="preserve"> учетом нормативного понижающего коэффициента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П</w:t>
      </w:r>
      <w:proofErr w:type="gramEnd"/>
      <w:r>
        <w:rPr>
          <w:color w:val="000000"/>
          <w:sz w:val="24"/>
        </w:rPr>
        <w:t>о номинальной стоимости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Страховая стоимость: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восстановительной стоимости элементов, пострадавших в результате наступления страхового случая.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ассчитывается путем капитализации потерь от наступления страхового случая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остаточной стоимости уцелевшего имущества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определяется на основе рыночной стоимости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Для определения срока окупаемости необходимо: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рассчитать дисконтированный денежный поток доходов по проекту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ассчитать ставку капитализации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ассчитать текущую стоимость затрат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рассчитать стоимость продажи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Страховая стоимость: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восстановительной стоимости элементов, пострадавших в результате наступления страхового случая.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ассчитывается путем капитализации потерь от наступления страхового случая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остаточной стоимости уцелевшего имущества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определяется на основе рыночной стоимости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Для определения срока окупаемости необходимо: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рассчитать дисконтированный денежный поток доходов по проекту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ассчитать ставку капитализации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ассчитать текущую стоимость затрат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Налогооблагаемая стоимость: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Равна</w:t>
      </w:r>
      <w:proofErr w:type="gramEnd"/>
      <w:r>
        <w:rPr>
          <w:color w:val="000000"/>
          <w:sz w:val="24"/>
        </w:rPr>
        <w:t xml:space="preserve"> остаточной стоимости активов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б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ассчитывается в соответствии с нормативными актами, определяющими размер налога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ассчитывается с учетом накопленного износа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Р</w:t>
      </w:r>
      <w:proofErr w:type="gramEnd"/>
      <w:r>
        <w:rPr>
          <w:color w:val="000000"/>
          <w:sz w:val="24"/>
        </w:rPr>
        <w:t>ассчитывается как среднеарифметическое значение величин налогов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В процессе анализа инвестиций учитываются: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Состояние рынка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Капиталовложения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Темпы инфляции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 оценке инвестиционных проектов учитывается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Чистая текущая стоимость доходов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Ставка доходности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Стоимость приведенных доходов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вышеперечисленное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Метод доходности инвестированного капитала применяется в рамках: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рыночного подхода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доходного подхода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ab/>
        <w:t>затратного подхода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не применяется для оценки предприятия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Предприятие как имущественный комплекс, включает в себя: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материальные и нематериальные активы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основные средства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Недвижимость, оборудование, транспортные средства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г</w:t>
      </w:r>
      <w:proofErr w:type="gramStart"/>
      <w:r>
        <w:rPr>
          <w:color w:val="000000"/>
          <w:sz w:val="24"/>
        </w:rPr>
        <w:tab/>
        <w:t>В</w:t>
      </w:r>
      <w:proofErr w:type="gramEnd"/>
      <w:r>
        <w:rPr>
          <w:color w:val="000000"/>
          <w:sz w:val="24"/>
        </w:rPr>
        <w:t>се виды имущества, предназначенные для его деятельности</w:t>
      </w:r>
    </w:p>
    <w:p w:rsidR="00505717" w:rsidRDefault="00505717" w:rsidP="00505717">
      <w:pPr>
        <w:rPr>
          <w:color w:val="000000"/>
          <w:sz w:val="24"/>
        </w:rPr>
      </w:pPr>
    </w:p>
    <w:p w:rsidR="00505717" w:rsidRDefault="00505717" w:rsidP="00505717">
      <w:pPr>
        <w:rPr>
          <w:color w:val="000000"/>
          <w:sz w:val="24"/>
        </w:rPr>
      </w:pP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1: введение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2: общеэкономический раздел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3: краткая характеристика отрасли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4: краткая характеристика предприятия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5: анализ финансового состояния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6: метод оценки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7: выводы к приложениям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8: заключение по оценке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период ... определяется как ожидаемое число лет, необходимое для полного возмещения инвестиционных затрат</w:t>
      </w:r>
      <w:proofErr w:type="gramStart"/>
      <w:r>
        <w:rPr>
          <w:color w:val="000000"/>
          <w:sz w:val="24"/>
        </w:rPr>
        <w:t xml:space="preserve"> ;</w:t>
      </w:r>
      <w:proofErr w:type="gramEnd"/>
    </w:p>
    <w:p w:rsidR="00505717" w:rsidRDefault="00505717" w:rsidP="00505717">
      <w:pPr>
        <w:spacing w:after="120"/>
        <w:rPr>
          <w:color w:val="000000"/>
          <w:sz w:val="24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....- это денежный эквивалент, который покупатель готов обменять на какой-либо предмет или объект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 xml:space="preserve">Верные ответы: 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 xml:space="preserve">стоимость; </w:t>
      </w:r>
    </w:p>
    <w:p w:rsidR="00505717" w:rsidRDefault="00505717" w:rsidP="00505717">
      <w:pPr>
        <w:rPr>
          <w:color w:val="000000"/>
          <w:sz w:val="24"/>
        </w:rPr>
      </w:pPr>
    </w:p>
    <w:p w:rsidR="00505717" w:rsidRDefault="00505717" w:rsidP="00505717">
      <w:pPr>
        <w:rPr>
          <w:color w:val="000000"/>
          <w:sz w:val="24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оценку бизнеса осуществляют с позиции трех подходов: доходного</w:t>
      </w:r>
      <w:proofErr w:type="gramStart"/>
      <w:r>
        <w:rPr>
          <w:color w:val="000000"/>
          <w:sz w:val="24"/>
        </w:rPr>
        <w:t xml:space="preserve">,... </w:t>
      </w:r>
      <w:proofErr w:type="gramEnd"/>
      <w:r>
        <w:rPr>
          <w:color w:val="000000"/>
          <w:sz w:val="24"/>
        </w:rPr>
        <w:t>и сравнительного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Анализ инвестиций включает следующие основные компоненты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собственные оборотные средства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капиталовложения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заемные оборотные средства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ab/>
        <w:t>потребности в финансировании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наиболее применяемыми для оценки капитала ФПГ как интегрированного образования является</w:t>
      </w:r>
      <w:proofErr w:type="gramStart"/>
      <w:r>
        <w:rPr>
          <w:color w:val="000000"/>
          <w:sz w:val="24"/>
        </w:rPr>
        <w:t xml:space="preserve"> ..... </w:t>
      </w:r>
      <w:proofErr w:type="gramEnd"/>
      <w:r>
        <w:rPr>
          <w:color w:val="000000"/>
          <w:sz w:val="24"/>
        </w:rPr>
        <w:t>подход</w:t>
      </w:r>
    </w:p>
    <w:p w:rsidR="00505717" w:rsidRDefault="00505717" w:rsidP="00505717">
      <w:pPr>
        <w:rPr>
          <w:color w:val="000000"/>
          <w:sz w:val="24"/>
        </w:rPr>
      </w:pP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1) осуществляется на дисконтированную стоимость будущих доходов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 xml:space="preserve">2) </w:t>
      </w:r>
      <w:proofErr w:type="gramStart"/>
      <w:r>
        <w:rPr>
          <w:color w:val="000000"/>
          <w:sz w:val="24"/>
        </w:rPr>
        <w:t>ориентирован</w:t>
      </w:r>
      <w:proofErr w:type="gramEnd"/>
      <w:r>
        <w:rPr>
          <w:color w:val="000000"/>
          <w:sz w:val="24"/>
        </w:rPr>
        <w:t xml:space="preserve"> на текучие цены и отражает зависимость от предыдущей динамики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3) использует статистику цен на акции и построение на этой основе различных трендов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proofErr w:type="spellStart"/>
      <w:r>
        <w:rPr>
          <w:color w:val="000000"/>
          <w:sz w:val="24"/>
        </w:rPr>
        <w:t>фундаменталистический</w:t>
      </w:r>
      <w:proofErr w:type="spellEnd"/>
      <w:r>
        <w:rPr>
          <w:color w:val="000000"/>
          <w:sz w:val="24"/>
        </w:rPr>
        <w:t xml:space="preserve"> подход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B) теория "ходьба наугад"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C) технократический подход</w:t>
      </w:r>
    </w:p>
    <w:p w:rsidR="00505717" w:rsidRDefault="00505717" w:rsidP="00505717">
      <w:pPr>
        <w:rPr>
          <w:color w:val="000000"/>
          <w:sz w:val="24"/>
        </w:rPr>
      </w:pPr>
    </w:p>
    <w:p w:rsidR="00505717" w:rsidRDefault="00505717" w:rsidP="00505717">
      <w:pPr>
        <w:rPr>
          <w:color w:val="000000"/>
          <w:sz w:val="24"/>
        </w:rPr>
      </w:pP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1) доход на акцию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2) ценность акций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3) дивидендный выход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A) лучше использовать в процессе формирования и составления группы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B) наиболее употребляем среди инвесторов на фондовом рынке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C) используется при оценке капитала крупных корпоративных структур</w:t>
      </w:r>
    </w:p>
    <w:p w:rsidR="00505717" w:rsidRDefault="00505717" w:rsidP="00505717">
      <w:pPr>
        <w:spacing w:after="120"/>
        <w:rPr>
          <w:color w:val="000000"/>
          <w:sz w:val="24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</w:p>
    <w:p w:rsidR="00505717" w:rsidRDefault="00505717" w:rsidP="00505717">
      <w:pPr>
        <w:spacing w:after="120"/>
        <w:rPr>
          <w:color w:val="000000"/>
          <w:sz w:val="24"/>
        </w:rPr>
      </w:pPr>
      <w:r>
        <w:rPr>
          <w:color w:val="000000"/>
          <w:sz w:val="24"/>
        </w:rPr>
        <w:t>оценка капитала ФПГ может ориентироваться на капитализацию акций, определяемого как: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ab/>
        <w:t>произведение акций и их балансовой стоимости</w:t>
      </w:r>
    </w:p>
    <w:p w:rsidR="00505717" w:rsidRDefault="00505717" w:rsidP="00505717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б</w:t>
      </w:r>
      <w:proofErr w:type="gramEnd"/>
      <w:r>
        <w:rPr>
          <w:color w:val="000000"/>
          <w:sz w:val="24"/>
        </w:rPr>
        <w:tab/>
        <w:t>произведение рыночной стоимости и их количества</w:t>
      </w:r>
    </w:p>
    <w:p w:rsidR="00505717" w:rsidRDefault="00505717" w:rsidP="00505717">
      <w:p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ab/>
        <w:t>произведение акций и дивидендов</w:t>
      </w:r>
    </w:p>
    <w:p w:rsidR="00505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Pr="00BC4717" w:rsidRDefault="00505717" w:rsidP="00505717">
      <w:pPr>
        <w:shd w:val="clear" w:color="auto" w:fill="FFFFFF"/>
        <w:tabs>
          <w:tab w:val="left" w:pos="9720"/>
        </w:tabs>
        <w:ind w:right="567" w:firstLine="851"/>
        <w:rPr>
          <w:sz w:val="28"/>
          <w:szCs w:val="28"/>
        </w:rPr>
      </w:pPr>
    </w:p>
    <w:p w:rsidR="00505717" w:rsidRPr="00BC4717" w:rsidRDefault="00505717" w:rsidP="00505717"/>
    <w:p w:rsidR="00454507" w:rsidRDefault="00454507"/>
    <w:sectPr w:rsidR="00454507" w:rsidSect="00CB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05717"/>
    <w:rsid w:val="00454507"/>
    <w:rsid w:val="0050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2014-05-30T10:15:00Z</dcterms:created>
  <dcterms:modified xsi:type="dcterms:W3CDTF">2014-05-30T10:18:00Z</dcterms:modified>
</cp:coreProperties>
</file>