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F0" w:rsidRPr="00193CFA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g22"/>
      <w:r w:rsidRPr="00193C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Лекция № </w:t>
      </w:r>
      <w:r w:rsidR="008C51A3" w:rsidRPr="00193CF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A725F0" w:rsidRPr="00193CFA" w:rsidRDefault="00A725F0" w:rsidP="00193CFA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193CFA" w:rsidRDefault="00A725F0" w:rsidP="00193CFA">
      <w:pPr>
        <w:pStyle w:val="a3"/>
        <w:spacing w:before="0" w:beforeAutospacing="0" w:after="0" w:afterAutospacing="0" w:line="269" w:lineRule="atLeast"/>
        <w:ind w:firstLine="709"/>
        <w:jc w:val="center"/>
        <w:rPr>
          <w:color w:val="000000"/>
          <w:sz w:val="28"/>
          <w:szCs w:val="28"/>
        </w:rPr>
      </w:pPr>
      <w:r w:rsidRPr="00193CFA">
        <w:rPr>
          <w:sz w:val="28"/>
          <w:szCs w:val="28"/>
        </w:rPr>
        <w:t xml:space="preserve">ТЕМА ЛЕКЦИИ </w:t>
      </w:r>
      <w:r w:rsidR="00193CFA" w:rsidRPr="00193CFA">
        <w:rPr>
          <w:sz w:val="28"/>
          <w:szCs w:val="28"/>
        </w:rPr>
        <w:t>Системно-кибернетическая макроуровневая теория политической коммуникации</w:t>
      </w:r>
    </w:p>
    <w:p w:rsidR="00A725F0" w:rsidRPr="00193CFA" w:rsidRDefault="00A725F0" w:rsidP="00193CFA">
      <w:pPr>
        <w:suppressAutoHyphens/>
        <w:autoSpaceDE w:val="0"/>
        <w:autoSpaceDN w:val="0"/>
        <w:adjustRightInd w:val="0"/>
        <w:spacing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ECD" w:rsidRPr="00193CFA" w:rsidRDefault="00A725F0" w:rsidP="00450ECD">
      <w:pPr>
        <w:pStyle w:val="a3"/>
        <w:spacing w:before="0" w:beforeAutospacing="0" w:after="0" w:afterAutospacing="0" w:line="269" w:lineRule="atLeast"/>
        <w:ind w:firstLine="709"/>
        <w:jc w:val="center"/>
        <w:rPr>
          <w:color w:val="000000"/>
          <w:sz w:val="28"/>
          <w:szCs w:val="28"/>
        </w:rPr>
      </w:pPr>
      <w:r w:rsidRPr="00193CFA">
        <w:rPr>
          <w:rFonts w:eastAsia="Calibri"/>
          <w:sz w:val="28"/>
          <w:szCs w:val="28"/>
        </w:rPr>
        <w:tab/>
      </w:r>
      <w:r w:rsidRPr="00193CFA">
        <w:rPr>
          <w:rFonts w:eastAsia="Calibri"/>
          <w:b/>
          <w:bCs/>
          <w:sz w:val="28"/>
          <w:szCs w:val="28"/>
        </w:rPr>
        <w:t>Цель лекции</w:t>
      </w:r>
      <w:r w:rsidRPr="00193CFA">
        <w:rPr>
          <w:rFonts w:eastAsia="Calibri"/>
          <w:sz w:val="28"/>
          <w:szCs w:val="28"/>
        </w:rPr>
        <w:t xml:space="preserve"> – рассмотреть </w:t>
      </w:r>
      <w:r w:rsidR="00450ECD">
        <w:rPr>
          <w:rFonts w:eastAsia="Calibri"/>
          <w:sz w:val="28"/>
          <w:szCs w:val="28"/>
        </w:rPr>
        <w:t>с</w:t>
      </w:r>
      <w:r w:rsidR="00450ECD">
        <w:rPr>
          <w:sz w:val="28"/>
          <w:szCs w:val="28"/>
        </w:rPr>
        <w:t>истемно-кибернетическую макроуровневую</w:t>
      </w:r>
      <w:r w:rsidR="00450ECD" w:rsidRPr="00193CFA">
        <w:rPr>
          <w:sz w:val="28"/>
          <w:szCs w:val="28"/>
        </w:rPr>
        <w:t xml:space="preserve"> теори</w:t>
      </w:r>
      <w:r w:rsidR="00450ECD">
        <w:rPr>
          <w:sz w:val="28"/>
          <w:szCs w:val="28"/>
        </w:rPr>
        <w:t>ю</w:t>
      </w:r>
      <w:r w:rsidR="00450ECD" w:rsidRPr="00193CFA">
        <w:rPr>
          <w:sz w:val="28"/>
          <w:szCs w:val="28"/>
        </w:rPr>
        <w:t xml:space="preserve"> политической коммуникации</w:t>
      </w:r>
    </w:p>
    <w:p w:rsidR="00450ECD" w:rsidRPr="00193CFA" w:rsidRDefault="00450ECD" w:rsidP="00450ECD">
      <w:pPr>
        <w:suppressAutoHyphens/>
        <w:autoSpaceDE w:val="0"/>
        <w:autoSpaceDN w:val="0"/>
        <w:adjustRightInd w:val="0"/>
        <w:spacing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193CFA" w:rsidRDefault="00A725F0" w:rsidP="00193CFA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193CFA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3CFA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A725F0" w:rsidRPr="00193CFA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4A7" w:rsidRDefault="009E34A7" w:rsidP="009E34A7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 кибернетика</w:t>
      </w:r>
    </w:p>
    <w:p w:rsidR="00BB2834" w:rsidRDefault="00BB2834" w:rsidP="00BB2834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Кибернетический гомеостазис</w:t>
      </w:r>
    </w:p>
    <w:p w:rsidR="007C3C8A" w:rsidRDefault="007C3C8A" w:rsidP="007C3C8A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Коммуникационная модель</w:t>
      </w:r>
      <w:r w:rsidRPr="00193CFA">
        <w:rPr>
          <w:color w:val="000000"/>
          <w:sz w:val="28"/>
          <w:szCs w:val="28"/>
        </w:rPr>
        <w:t xml:space="preserve"> политической кибернетики </w:t>
      </w:r>
      <w:r>
        <w:rPr>
          <w:color w:val="000000"/>
          <w:sz w:val="28"/>
          <w:szCs w:val="28"/>
        </w:rPr>
        <w:t>Д. Истона</w:t>
      </w:r>
    </w:p>
    <w:p w:rsidR="009B7B6C" w:rsidRDefault="009B7B6C" w:rsidP="009B7B6C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Структурно-функциональные</w:t>
      </w:r>
      <w:r w:rsidRPr="00193CF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кибернетические</w:t>
      </w:r>
      <w:r w:rsidRPr="00193CFA">
        <w:rPr>
          <w:color w:val="000000"/>
          <w:sz w:val="28"/>
          <w:szCs w:val="28"/>
        </w:rPr>
        <w:t xml:space="preserve"> модел</w:t>
      </w:r>
      <w:r>
        <w:rPr>
          <w:color w:val="000000"/>
          <w:sz w:val="28"/>
          <w:szCs w:val="28"/>
        </w:rPr>
        <w:t>и</w:t>
      </w:r>
    </w:p>
    <w:p w:rsidR="009B7B6C" w:rsidRDefault="009B7B6C" w:rsidP="009B7B6C">
      <w:pPr>
        <w:pStyle w:val="a3"/>
        <w:spacing w:before="0" w:beforeAutospacing="0" w:after="0" w:afterAutospacing="0" w:line="269" w:lineRule="atLeast"/>
        <w:ind w:left="720"/>
        <w:jc w:val="both"/>
        <w:rPr>
          <w:color w:val="000000"/>
          <w:sz w:val="28"/>
          <w:szCs w:val="28"/>
        </w:rPr>
      </w:pPr>
    </w:p>
    <w:p w:rsidR="00A725F0" w:rsidRPr="00193CFA" w:rsidRDefault="00A725F0" w:rsidP="00193CFA">
      <w:pPr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193CFA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3CFA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Рекомендуемая литература</w:t>
      </w:r>
    </w:p>
    <w:p w:rsidR="00A725F0" w:rsidRPr="00193CFA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25F0" w:rsidRPr="00193CFA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FA">
        <w:rPr>
          <w:rFonts w:ascii="Times New Roman" w:hAnsi="Times New Roman"/>
          <w:sz w:val="28"/>
          <w:szCs w:val="28"/>
        </w:rPr>
        <w:t>1. Чудинов А.П. Политическая лингвистика: учебное пособие. – М.: Флинта, 2008. – 256 с.</w:t>
      </w:r>
    </w:p>
    <w:p w:rsidR="00A725F0" w:rsidRPr="00193CFA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FA">
        <w:rPr>
          <w:rFonts w:ascii="Times New Roman" w:hAnsi="Times New Roman"/>
          <w:sz w:val="28"/>
          <w:szCs w:val="28"/>
        </w:rPr>
        <w:t>2. Шарков Ф.И. Интегрированные коммуникации: реклама, паблик рилейшнз, брендинг: Учебное пособие. – М.: Дашков и К, 2011. – 324 с.</w:t>
      </w:r>
    </w:p>
    <w:p w:rsidR="00A725F0" w:rsidRPr="00193CFA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FA">
        <w:rPr>
          <w:rFonts w:ascii="Times New Roman" w:hAnsi="Times New Roman"/>
          <w:sz w:val="28"/>
          <w:szCs w:val="28"/>
        </w:rPr>
        <w:t>3. Шарков Ф.И. Коммуникология: коммуникационный консалтинг. – М.: Дашков и К, 2011. – 408 с.</w:t>
      </w:r>
    </w:p>
    <w:p w:rsidR="00A725F0" w:rsidRPr="00193CFA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FA">
        <w:rPr>
          <w:rFonts w:ascii="Times New Roman" w:hAnsi="Times New Roman"/>
          <w:sz w:val="28"/>
          <w:szCs w:val="28"/>
        </w:rPr>
        <w:t>4. Шарков Ф.И. Коммуникология: основы теории коммуникации. – М.:  Дашков и К., 2010. – 592 с.</w:t>
      </w:r>
    </w:p>
    <w:p w:rsidR="00A725F0" w:rsidRPr="00193CFA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FA">
        <w:rPr>
          <w:rFonts w:ascii="Times New Roman" w:hAnsi="Times New Roman"/>
          <w:sz w:val="28"/>
          <w:szCs w:val="28"/>
        </w:rPr>
        <w:t>5. Горелов А.А. Основы социологии и политологии: учебное пособие. – М.: Флинта, 2008. – 416 с.</w:t>
      </w:r>
    </w:p>
    <w:p w:rsidR="00A725F0" w:rsidRDefault="00A725F0" w:rsidP="00193CFA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  <w:r w:rsidRPr="00193CFA">
        <w:rPr>
          <w:b/>
          <w:bCs/>
          <w:i/>
          <w:iCs/>
          <w:spacing w:val="-6"/>
          <w:sz w:val="28"/>
          <w:szCs w:val="28"/>
        </w:rPr>
        <w:lastRenderedPageBreak/>
        <w:t>Основная часть</w:t>
      </w:r>
    </w:p>
    <w:p w:rsidR="009E34A7" w:rsidRPr="00193CFA" w:rsidRDefault="009E34A7" w:rsidP="00193CFA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</w:p>
    <w:bookmarkEnd w:id="0"/>
    <w:p w:rsidR="00A725F0" w:rsidRDefault="00193CFA" w:rsidP="00193CFA">
      <w:pPr>
        <w:pStyle w:val="a3"/>
        <w:numPr>
          <w:ilvl w:val="0"/>
          <w:numId w:val="4"/>
        </w:numPr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 кибернетика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left="576" w:firstLine="709"/>
        <w:jc w:val="both"/>
        <w:rPr>
          <w:color w:val="000000"/>
          <w:sz w:val="28"/>
          <w:szCs w:val="28"/>
        </w:rPr>
      </w:pP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В современной западной политической науке относительно новое для нас понятие «политическая кибернетика» обозначает область теоретических и прикладных политологических исследований, связанную с изучением, моделированием и прогнозированием политических процессов и явлений путем использования коммуникационно-кибернетических моделей. Выделение политической кибернетики в относительно самостоятельное направление во многом было вызвано развитием прикладных аспектов кибернетической теории, в целом изучающей наиболее общие закономерности процессов информационного обмена и управления в технических, биологических, человеко-машинных, экономических и социальных системах.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Опираясь на некоторые результаты математической логики, теории вероятностей и статистической физики, а также на достижения электронной техники, кибернетика использует количественные аналогии между работой машины, деятельностью живых существ и некоторыми социальными явлениями. Эти аналогии основываются на том, что как в сложном техническом устройстве, одним из примеров которого является ЭВМ, так и в живом организме и в человеческом сообществе могут быть выделены управляющие и управляемые составные части, связанные между собой посредством передаваемых информационных сигналов. Понятно, что эти аналогии, как и любые аналогии вообще, приблизительны; тем не менее, их количественная сторона дает возможность построения цельной теории управления и связи или теории коммуникации, применимой в существенно различных областях.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Функциональное единство действия технических, биологических и социальных управляющих систем выражается в универсальном характере</w:t>
      </w:r>
      <w:r w:rsidRPr="00193CFA">
        <w:rPr>
          <w:rStyle w:val="apple-converted-space"/>
          <w:color w:val="000000"/>
          <w:sz w:val="28"/>
          <w:szCs w:val="28"/>
        </w:rPr>
        <w:t> </w:t>
      </w:r>
      <w:r w:rsidRPr="00193CFA">
        <w:rPr>
          <w:i/>
          <w:iCs/>
          <w:color w:val="000000"/>
          <w:sz w:val="28"/>
          <w:szCs w:val="28"/>
        </w:rPr>
        <w:t>обратной связи</w:t>
      </w:r>
      <w:r w:rsidRPr="00193CFA">
        <w:rPr>
          <w:rStyle w:val="apple-converted-space"/>
          <w:color w:val="000000"/>
          <w:sz w:val="28"/>
          <w:szCs w:val="28"/>
        </w:rPr>
        <w:t> </w:t>
      </w:r>
      <w:r w:rsidRPr="00193CFA">
        <w:rPr>
          <w:color w:val="000000"/>
          <w:sz w:val="28"/>
          <w:szCs w:val="28"/>
        </w:rPr>
        <w:t>– принципа, суть которого состоит в том, что каждое последующее воздействие на управляемый объект определяется на основании сведений о результатах предыдущего воздействия – применительно к классу явлений, относящихся к отдельным видам целенаправленной деятельности,</w:t>
      </w:r>
      <w:r w:rsidRPr="00193CFA">
        <w:rPr>
          <w:rStyle w:val="apple-converted-space"/>
          <w:color w:val="000000"/>
          <w:sz w:val="28"/>
          <w:szCs w:val="28"/>
        </w:rPr>
        <w:t> </w:t>
      </w:r>
      <w:r w:rsidRPr="00193CFA">
        <w:rPr>
          <w:color w:val="000000"/>
          <w:sz w:val="28"/>
          <w:szCs w:val="28"/>
        </w:rPr>
        <w:t>объединяемым общим понятием «коммуникация», или «связь». При этом управление рассматривается как частный случай коммуникации.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 xml:space="preserve">В действительности, эти два понятия, предполагающие характерный для принципа обратной связи двусторонний обмен информацией между составными частями некоторой системы, обозначает, как подчеркивал Н. Винер, «явления по существу одной природы». Когда какой-либо человек вступает в коммуникацию, или, пользуясь более привычным термином, в общение с другим, он сообщает ему в том или ином виде информационный сигнал; в свою очередь, устанавливая связь в противоположном направлении, этот другой возвращает подобный сигнал, содержащий информацию, которая </w:t>
      </w:r>
      <w:r w:rsidRPr="00193CFA">
        <w:rPr>
          <w:color w:val="000000"/>
          <w:sz w:val="28"/>
          <w:szCs w:val="28"/>
        </w:rPr>
        <w:lastRenderedPageBreak/>
        <w:t>для первого была недоступна. Если один человек управляет действиями другого, то исходный сигнал, очевидно, дается в императивной форме, однако техника коммуникации при этом нисколько принципиально не отличается; более того, чтобы управление было действенным, «управляющий» должен следить за любыми сигналами, которые поступают от «управляемого» и могут указывать, что команда управления принята, понята и выполняется). С функциональной точки зрения, подобным образом осуществляется информационный обмен между «управляющей» и «управляемой» вычислительными машинами, а также – в известной степени – и обработка мозгом человека сигналов, поступающих по центростремительным нервам от органов чувств в случае целенаправленной деятельности. Отмеченное обстоятельство давало основания утверждать, что существует «принципиальное единство ряда задач, в центре которых находились вопросы коммуникации, управления и статистической механики, и притом как в машине, так и в живой ткани».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В отличие от механистических концепций, кибернетическая теория не ставила перед собой задачу исчерпывающе объяснить или однозначно свести друг к другу разноплановые явления лишь на основании проявляющегося сходства отдельных их сторон. Напротив, как подчеркивал Н. Винер, речь могла идти только о том, что «анализ одного процесса может привести к выводам, имеющим значение для исследования другого процесса».</w:t>
      </w:r>
    </w:p>
    <w:p w:rsid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В этой связи представляет интерес то обстоятельство, что сам термин «кибернетика», предложенный Винером в качестве неологизма для обозначения новой области знания, возникшей на стыке технических, биологических и социальных дисциплин, уже использовался в истории науки, причем именно в социально-политическом значении. Он встречается в текстах Платона, где обозначает «искусство управления кораблем», «искусство кормчего», а в переносном смысле – «искусство управления людьми». В первой половине XIX в. французский ученый-физик А.-М. Ампер, занимавшийся проблемой классификации научного знания, предложил назвать «кибернетикой» (</w:t>
      </w:r>
      <w:r w:rsidRPr="00193CFA">
        <w:rPr>
          <w:i/>
          <w:iCs/>
          <w:color w:val="000000"/>
          <w:sz w:val="28"/>
          <w:szCs w:val="28"/>
        </w:rPr>
        <w:t>cybernetique</w:t>
      </w:r>
      <w:r w:rsidRPr="00193CFA">
        <w:rPr>
          <w:color w:val="000000"/>
          <w:sz w:val="28"/>
          <w:szCs w:val="28"/>
        </w:rPr>
        <w:t>) науку об управлении государством. В классификации Ампера «кибернетика», «этнодицея» (наука о правах народов), дипломатия и «теория власти» относились к политическим наукам, причем «кибернетика» и «теория власти» составляли «политику в собственном смысле слова».</w:t>
      </w:r>
    </w:p>
    <w:p w:rsidR="00F732EB" w:rsidRDefault="00F732E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F732EB" w:rsidRDefault="00BB2834" w:rsidP="00BB2834">
      <w:pPr>
        <w:pStyle w:val="a3"/>
        <w:numPr>
          <w:ilvl w:val="0"/>
          <w:numId w:val="4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Кибернетический гомеостазис</w:t>
      </w:r>
    </w:p>
    <w:p w:rsidR="00BB2834" w:rsidRPr="00193CFA" w:rsidRDefault="00BB2834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 xml:space="preserve">Применительно к современным исследованиям политической коммуникации наиболее продуктивными оказались сформулированные Винером кибернетические представления об универсальном характере обратной связи, а также о закономерностях так называемого «кибернетического гомеостазиса» – устойчивого, саморегулирующегося функционирования сложных открытых систем в изменяющейся окружающей среде путем активного взаимодействия с последней. Это выражается, с одной </w:t>
      </w:r>
      <w:r w:rsidRPr="00193CFA">
        <w:rPr>
          <w:color w:val="000000"/>
          <w:sz w:val="28"/>
          <w:szCs w:val="28"/>
        </w:rPr>
        <w:lastRenderedPageBreak/>
        <w:t>стороны, в приспособляемости сложноорганизованного системного объекта к воздействиям внешнего мира посредством определенных внутренних структурно-функциональных изменений, с другой – в активном воздействии системного объекта на среду, ее «приспособлении» к своим внутренним параметрам, «потребностям» путем извлечения и усвоения необходимых ресурсов и, кроме того, нейтрализации неблагоприятных внешних воздействий.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9571"/>
      </w:tblGrid>
      <w:tr w:rsidR="00193CFA" w:rsidRPr="00193CFA" w:rsidTr="00193CFA">
        <w:trPr>
          <w:tblCellSpacing w:w="0" w:type="dxa"/>
        </w:trPr>
        <w:tc>
          <w:tcPr>
            <w:tcW w:w="0" w:type="auto"/>
            <w:hideMark/>
          </w:tcPr>
          <w:p w:rsidR="00193CFA" w:rsidRPr="00193CFA" w:rsidRDefault="00193CFA" w:rsidP="00193CFA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193CFA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0" cy="2916000"/>
                  <wp:effectExtent l="0" t="0" r="0" b="0"/>
                  <wp:docPr id="1" name="Рисунок 1" descr="http://grachev62.narod.ru/Grachev/p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achev62.narod.ru/Grachev/p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CFA" w:rsidRPr="00193CFA" w:rsidTr="00193CFA">
        <w:trPr>
          <w:tblCellSpacing w:w="0" w:type="dxa"/>
        </w:trPr>
        <w:tc>
          <w:tcPr>
            <w:tcW w:w="0" w:type="auto"/>
            <w:hideMark/>
          </w:tcPr>
          <w:p w:rsidR="00193CFA" w:rsidRPr="00193CFA" w:rsidRDefault="00193CFA" w:rsidP="00193CFA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193CFA">
              <w:rPr>
                <w:i/>
                <w:iCs/>
                <w:sz w:val="28"/>
                <w:szCs w:val="28"/>
              </w:rPr>
              <w:t>Рис. 5</w:t>
            </w:r>
          </w:p>
        </w:tc>
      </w:tr>
    </w:tbl>
    <w:p w:rsid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 </w:t>
      </w:r>
    </w:p>
    <w:p w:rsidR="007C3C8A" w:rsidRDefault="007C3C8A" w:rsidP="007C3C8A">
      <w:pPr>
        <w:pStyle w:val="a3"/>
        <w:numPr>
          <w:ilvl w:val="0"/>
          <w:numId w:val="4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Коммуникационная модель</w:t>
      </w:r>
      <w:r w:rsidRPr="00193CFA">
        <w:rPr>
          <w:color w:val="000000"/>
          <w:sz w:val="28"/>
          <w:szCs w:val="28"/>
        </w:rPr>
        <w:t xml:space="preserve"> политической кибернетики </w:t>
      </w:r>
      <w:r>
        <w:rPr>
          <w:color w:val="000000"/>
          <w:sz w:val="28"/>
          <w:szCs w:val="28"/>
        </w:rPr>
        <w:t>Д. Истона</w:t>
      </w:r>
    </w:p>
    <w:p w:rsidR="007C3C8A" w:rsidRPr="00193CFA" w:rsidRDefault="007C3C8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C3C8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 xml:space="preserve">Первой коммуникационной моделью политической кибернетики стала концепция политической системы общества, предложенная в 1953 г. канадским политологом Д. Истоном. В этой модели политическая система рассматривается как относительно обособленное, устойчивое, целостное образование, кибернетический «черный ящик», погруженный в изменяющуюся социальную среду и взаимодействующий с ней посредством своих «входов» и «выходов». При таком подходе ключевым аспектом исследования становится проблема устойчивости или, в терминологии Истона, «выживания» политических систем как в стабильном, так и меняющемся мире. </w:t>
      </w:r>
    </w:p>
    <w:p w:rsidR="007C3C8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 xml:space="preserve">На вход «черного ящика» из окружающей среды – общества поступает информация двух видов – требования (могут быть как конструктивные, так и деструктивные) и поддержка (может трансформироваться в собственную разновидность «с отрицательным знаком», то есть протест). И требования, и поддержка могут возникать и формулироваться не только в окружающей среде – обществе, но и внутри самой системы, однако независимо от места своего происхождения они должны учитываться при выработке «выходной» </w:t>
      </w:r>
      <w:r w:rsidRPr="00193CFA">
        <w:rPr>
          <w:color w:val="000000"/>
          <w:sz w:val="28"/>
          <w:szCs w:val="28"/>
        </w:rPr>
        <w:lastRenderedPageBreak/>
        <w:t>информации – обязывающих политических решений и действий по их реализации, так или иначе оказывающих</w:t>
      </w:r>
      <w:r w:rsidRPr="00193CFA">
        <w:rPr>
          <w:rStyle w:val="apple-converted-space"/>
          <w:color w:val="000000"/>
          <w:sz w:val="28"/>
          <w:szCs w:val="28"/>
        </w:rPr>
        <w:t> </w:t>
      </w:r>
      <w:r w:rsidRPr="00193CFA">
        <w:rPr>
          <w:color w:val="000000"/>
          <w:sz w:val="28"/>
          <w:szCs w:val="28"/>
        </w:rPr>
        <w:t xml:space="preserve">воздействие на среду. </w:t>
      </w:r>
    </w:p>
    <w:p w:rsid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Если принимаемые решения и осуществляемые действия удовлетворяют ожиданиям или требованиям большинства социальных общностей и граждан, это со всей очевидностью порождает или увеличивает поддержку на «входе», и в обществе усиливаются стабилизационные процессы. Напротив, «непопулярные» решения и действия приводят к дестабилизации через формулировку более радикальных «входных» требований, а также к изменению знака второй входной координаты, то есть к трансформации поддержки в протест, что в своем крайнем варианте способно перерасти в отторжение гражданами правящих институтов, вызвать, в терминологии Истона, «стресс» политической системы и даже привести к ее разрушению. Для того, чтобы «выжить», система должна быть способна отвечать с помощью действий, устраняющих стресс. В этом отношении, как подчеркивает Истон, ключевую роль, несомненно, играют действия властей, но для осмысленных и эффективных действий власти должны иметь возможность получать всю необходимую информацию о происходящем.</w:t>
      </w:r>
    </w:p>
    <w:p w:rsidR="007C3C8A" w:rsidRDefault="007C3C8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3A7F2B" w:rsidRDefault="003A7F2B" w:rsidP="003A7F2B">
      <w:pPr>
        <w:pStyle w:val="a3"/>
        <w:numPr>
          <w:ilvl w:val="0"/>
          <w:numId w:val="4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193CFA">
        <w:rPr>
          <w:color w:val="000000"/>
          <w:sz w:val="28"/>
          <w:szCs w:val="28"/>
        </w:rPr>
        <w:t>нструментальны</w:t>
      </w:r>
      <w:r>
        <w:rPr>
          <w:color w:val="000000"/>
          <w:sz w:val="28"/>
          <w:szCs w:val="28"/>
        </w:rPr>
        <w:t>е модел</w:t>
      </w:r>
      <w:r w:rsidRPr="00193CFA">
        <w:rPr>
          <w:color w:val="000000"/>
          <w:sz w:val="28"/>
          <w:szCs w:val="28"/>
        </w:rPr>
        <w:t>и Г. Алмонда и Дж. Коулмана</w:t>
      </w:r>
    </w:p>
    <w:p w:rsidR="007C3C8A" w:rsidRPr="00193CFA" w:rsidRDefault="007C3C8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Кибернетическая модель Д. Истона была дополнена инструментальными моделями Г. Алмонда и Дж. Коулмана, в которых устанавливается определенное соответствие между отдельными категориями системно-кибернетического анализа и терминами, традиционно используемыми политической и правовой наукой. В их трудах были разработаны функции на «входе» политической системы общества: политическая социализация и рекрутирование, артикуляция и агрегация интересов, политическая коммуникация, – и на «выходе»: принятие правил и законов, их применение и контроль.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Теория политической кибернетики, предложенная К. Дойчем, рассматривает политику как коммуникационный процесс координации усилий людей по достижению поставленных целей, который реализуется по схеме кибернетического саморегулирования. Ключевая роль в этом процессе принадлежит обратной связи: поток сведений о достигнутом состоянии системы и последствиях деятельности властей, поступающий в центр принятия политических решений, позволяет составить представление о том, насколько близко подошла система к своим</w:t>
      </w:r>
      <w:r w:rsidRPr="00193CFA">
        <w:rPr>
          <w:rStyle w:val="apple-converted-space"/>
          <w:color w:val="000000"/>
          <w:sz w:val="28"/>
          <w:szCs w:val="28"/>
        </w:rPr>
        <w:t> </w:t>
      </w:r>
      <w:r w:rsidRPr="00193CFA">
        <w:rPr>
          <w:color w:val="000000"/>
          <w:sz w:val="28"/>
          <w:szCs w:val="28"/>
        </w:rPr>
        <w:t xml:space="preserve">целям и как ей следует изменить свое поведение, чтобы достичь максимального приближения к ним. Разница между заданным и фактически достигнутым состоянием системы с учетом сведений о характере самой системы, ее ресурсах, сопротивлении среды и т.д. используется для выработки нового управляющего воздействия. Оно может быть направлено как на то, чтобы фактическое состояние все более приближалось к заданному с учетом устранения ошибок и совершенствования системы в заданном направлении, так и на </w:t>
      </w:r>
      <w:r w:rsidRPr="00193CFA">
        <w:rPr>
          <w:color w:val="000000"/>
          <w:sz w:val="28"/>
          <w:szCs w:val="28"/>
        </w:rPr>
        <w:lastRenderedPageBreak/>
        <w:t>последовательную переориентацию, отход от заданного направления, поиск новых целей и путей их достижения.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Для более поздних теоретических работ, затрагивающих проблемы политической коммуникации, характерно сочетание системно-кибернетического и структурно-функционального подходов, позволяющее рассматривать сферу политической деятельности как сложноорганизованную открытую систему, компоненты которой выделяются на основании их функциональных особенностей и свойств, обусловливающих и предопределяющих функции политической системы в целом. В работах М.Г. Анохина, Р.Ф. Матвеева, О.Ф. Шаброва и ряда других российских авторов наблюдается интерес к решению в рамках системно-кибернетического и структурно-функционального анализа задачи декомпозиции, то есть представления функций политической системы в виде функциональной коммуникации ее взаимосвязанных, взаимозависимых и взаимодополняющих подсистем и элементов.</w:t>
      </w:r>
    </w:p>
    <w:p w:rsidR="003A7F2B" w:rsidRDefault="003A7F2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3A7F2B" w:rsidRDefault="003A7F2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3A7F2B" w:rsidRDefault="009B7B6C" w:rsidP="009B7B6C">
      <w:pPr>
        <w:pStyle w:val="a3"/>
        <w:spacing w:before="0" w:beforeAutospacing="0" w:after="0" w:afterAutospacing="0" w:line="269" w:lineRule="atLeast"/>
        <w:ind w:left="57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</w:t>
      </w:r>
      <w:r w:rsidR="00D054EF">
        <w:rPr>
          <w:i/>
          <w:iCs/>
          <w:color w:val="000000"/>
          <w:sz w:val="28"/>
          <w:szCs w:val="28"/>
        </w:rPr>
        <w:t>Структурно-функциональные</w:t>
      </w:r>
      <w:r w:rsidR="00D054EF" w:rsidRPr="00193CFA">
        <w:rPr>
          <w:rStyle w:val="apple-converted-space"/>
          <w:color w:val="000000"/>
          <w:sz w:val="28"/>
          <w:szCs w:val="28"/>
        </w:rPr>
        <w:t> </w:t>
      </w:r>
      <w:r w:rsidR="00D054EF">
        <w:rPr>
          <w:color w:val="000000"/>
          <w:sz w:val="28"/>
          <w:szCs w:val="28"/>
        </w:rPr>
        <w:t>кибернетические</w:t>
      </w:r>
      <w:r w:rsidR="00D054EF" w:rsidRPr="00193CFA">
        <w:rPr>
          <w:color w:val="000000"/>
          <w:sz w:val="28"/>
          <w:szCs w:val="28"/>
        </w:rPr>
        <w:t xml:space="preserve"> модел</w:t>
      </w:r>
      <w:r w:rsidR="00D054EF">
        <w:rPr>
          <w:color w:val="000000"/>
          <w:sz w:val="28"/>
          <w:szCs w:val="28"/>
        </w:rPr>
        <w:t>и</w:t>
      </w:r>
    </w:p>
    <w:p w:rsidR="00D054EF" w:rsidRDefault="00D054EF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93CFA" w:rsidRPr="00193CFA" w:rsidRDefault="00D054EF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Структурно-функциональное</w:t>
      </w:r>
      <w:r w:rsidR="00193CFA" w:rsidRPr="00193CF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кибернетическое</w:t>
      </w:r>
      <w:r w:rsidR="00193CFA" w:rsidRPr="00193CFA">
        <w:rPr>
          <w:color w:val="000000"/>
          <w:sz w:val="28"/>
          <w:szCs w:val="28"/>
        </w:rPr>
        <w:t xml:space="preserve"> моделирование, будучи, конечно же, сознательно упрощенным отображением определенной части политической действительности, обладает, тем не менее, рядом очевидных преимуществ. Во-первых, оно помогает организовать, упорядочить знание о процессах политической коммуникации путем логического обобщения множества различных частных случаев информационного взаимодействия и обмена, установления причинно-следственных взаимосвязей между наблюдаемыми явлениями. Во-вторых, оно способствует объяснению политико-коммуникационных процессов, представляя их в наглядной и доступной для восприятия форме и тем самым освобождая теоретические построения от возможных усложнений, а также и от неоднозначного истолкования находящихся в поле зрения феноменов. Это придает моделированию эвристическую функцию, так как оно позволяет направить познавательную активность исследователя на анализ и теоретическое осмысление ключевых, наиболее существенных моментов изучаемой действительности. В-третьих, коммуникационно-кибернетическое моделирование дает возможность предсказывать ход развития событий, последствия происходящих изменений и, следовательно, способствовать формулировке и уточнению исследовательских гипотез.</w:t>
      </w:r>
    </w:p>
    <w:p w:rsidR="00193CFA" w:rsidRPr="00193CFA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 xml:space="preserve">Понятно, что ни одна из структурно-функциональных моделей не может претендовать на некую абсолютную универсальность и быть одинаково применимой для всех случаев анализа. В конечном счете подобные модели – это не более, чем вспомогательные средства, обладающие определенными демонстративными возможностями, и к ним отнюдь не следует относиться как к чему-то «священному и неприкосновенному», не допускающему каких-либо уточнений, </w:t>
      </w:r>
      <w:r w:rsidRPr="00193CFA">
        <w:rPr>
          <w:color w:val="000000"/>
          <w:sz w:val="28"/>
          <w:szCs w:val="28"/>
        </w:rPr>
        <w:lastRenderedPageBreak/>
        <w:t>корректировок. Этими соображениями и руководствовался автор настоящих строк, обращаясь к разработкам других исследователей, а также предлагая в необходимых случаях собственные модели, способствующие, как представляется, раскрытию и осмыслению каузальных связей между процессами и явлениями в сфере политической коммуникации.</w:t>
      </w:r>
      <w:r w:rsidRPr="00193CFA">
        <w:rPr>
          <w:rStyle w:val="apple-converted-space"/>
          <w:color w:val="000000"/>
          <w:sz w:val="28"/>
          <w:szCs w:val="28"/>
        </w:rPr>
        <w:t> </w:t>
      </w:r>
    </w:p>
    <w:p w:rsidR="00292800" w:rsidRPr="00193CFA" w:rsidRDefault="00292800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92800" w:rsidRPr="00193CFA" w:rsidRDefault="00292800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Вопросы для самоконтроля:</w:t>
      </w:r>
    </w:p>
    <w:p w:rsidR="00292800" w:rsidRPr="00193CFA" w:rsidRDefault="00292800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DA50F2" w:rsidRDefault="00DA50F2" w:rsidP="00DA50F2">
      <w:pPr>
        <w:pStyle w:val="a3"/>
        <w:numPr>
          <w:ilvl w:val="0"/>
          <w:numId w:val="5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состоит особенность политической кибернетики как методологии?</w:t>
      </w:r>
    </w:p>
    <w:p w:rsidR="00DA50F2" w:rsidRDefault="00DA50F2" w:rsidP="00DA50F2">
      <w:pPr>
        <w:pStyle w:val="a3"/>
        <w:numPr>
          <w:ilvl w:val="0"/>
          <w:numId w:val="5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Каковы наиболее важные характеристики кибернетического гомеостазиса?</w:t>
      </w:r>
    </w:p>
    <w:p w:rsidR="00DA50F2" w:rsidRDefault="00DA50F2" w:rsidP="00DA50F2">
      <w:pPr>
        <w:pStyle w:val="a3"/>
        <w:numPr>
          <w:ilvl w:val="0"/>
          <w:numId w:val="5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объяснении каких компонентов политической системы основана коммуникационная модель</w:t>
      </w:r>
      <w:r w:rsidRPr="00193CFA">
        <w:rPr>
          <w:color w:val="000000"/>
          <w:sz w:val="28"/>
          <w:szCs w:val="28"/>
        </w:rPr>
        <w:t xml:space="preserve"> политической кибернетики </w:t>
      </w:r>
      <w:r>
        <w:rPr>
          <w:color w:val="000000"/>
          <w:sz w:val="28"/>
          <w:szCs w:val="28"/>
        </w:rPr>
        <w:t>Д. Истона?</w:t>
      </w:r>
    </w:p>
    <w:p w:rsidR="00DA50F2" w:rsidRPr="00DA50F2" w:rsidRDefault="00DA50F2" w:rsidP="00DA50F2">
      <w:pPr>
        <w:pStyle w:val="a3"/>
        <w:numPr>
          <w:ilvl w:val="0"/>
          <w:numId w:val="5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чем заключается значимость с</w:t>
      </w:r>
      <w:r w:rsidRPr="00DA50F2">
        <w:rPr>
          <w:iCs/>
          <w:color w:val="000000"/>
          <w:sz w:val="28"/>
          <w:szCs w:val="28"/>
        </w:rPr>
        <w:t>труктурно-функциональны</w:t>
      </w:r>
      <w:r>
        <w:rPr>
          <w:iCs/>
          <w:color w:val="000000"/>
          <w:sz w:val="28"/>
          <w:szCs w:val="28"/>
        </w:rPr>
        <w:t>х</w:t>
      </w:r>
      <w:r w:rsidRPr="00DA50F2">
        <w:rPr>
          <w:rStyle w:val="apple-converted-space"/>
          <w:color w:val="000000"/>
          <w:sz w:val="28"/>
          <w:szCs w:val="28"/>
        </w:rPr>
        <w:t> </w:t>
      </w:r>
      <w:r w:rsidRPr="00DA50F2">
        <w:rPr>
          <w:color w:val="000000"/>
          <w:sz w:val="28"/>
          <w:szCs w:val="28"/>
        </w:rPr>
        <w:t>кибернетическ</w:t>
      </w:r>
      <w:r>
        <w:rPr>
          <w:color w:val="000000"/>
          <w:sz w:val="28"/>
          <w:szCs w:val="28"/>
        </w:rPr>
        <w:t>их</w:t>
      </w:r>
      <w:r w:rsidRPr="00DA50F2">
        <w:rPr>
          <w:color w:val="000000"/>
          <w:sz w:val="28"/>
          <w:szCs w:val="28"/>
        </w:rPr>
        <w:t xml:space="preserve"> модел</w:t>
      </w:r>
      <w:r>
        <w:rPr>
          <w:color w:val="000000"/>
          <w:sz w:val="28"/>
          <w:szCs w:val="28"/>
        </w:rPr>
        <w:t>ей для анализа политической коммуникации?</w:t>
      </w:r>
    </w:p>
    <w:p w:rsidR="00292800" w:rsidRPr="00193CFA" w:rsidRDefault="00292800" w:rsidP="00DA50F2">
      <w:pPr>
        <w:pStyle w:val="a3"/>
        <w:spacing w:before="0" w:beforeAutospacing="0" w:after="0" w:afterAutospacing="0" w:line="269" w:lineRule="atLeast"/>
        <w:ind w:left="709"/>
        <w:jc w:val="both"/>
        <w:rPr>
          <w:color w:val="000000"/>
          <w:sz w:val="28"/>
          <w:szCs w:val="28"/>
        </w:rPr>
      </w:pPr>
    </w:p>
    <w:p w:rsidR="00AF1058" w:rsidRPr="00193CFA" w:rsidRDefault="00AF1058" w:rsidP="00DA50F2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AF1058" w:rsidRPr="00193CFA" w:rsidSect="001A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D79"/>
    <w:multiLevelType w:val="hybridMultilevel"/>
    <w:tmpl w:val="225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C71CA"/>
    <w:multiLevelType w:val="hybridMultilevel"/>
    <w:tmpl w:val="93D4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B4C67"/>
    <w:multiLevelType w:val="hybridMultilevel"/>
    <w:tmpl w:val="7638DFC0"/>
    <w:lvl w:ilvl="0" w:tplc="C1FA375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5A1E0247"/>
    <w:multiLevelType w:val="hybridMultilevel"/>
    <w:tmpl w:val="216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053D7"/>
    <w:multiLevelType w:val="hybridMultilevel"/>
    <w:tmpl w:val="C85AA80C"/>
    <w:lvl w:ilvl="0" w:tplc="753E6F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5F0"/>
    <w:rsid w:val="00193CFA"/>
    <w:rsid w:val="001A6741"/>
    <w:rsid w:val="00292800"/>
    <w:rsid w:val="003A7F2B"/>
    <w:rsid w:val="004202E9"/>
    <w:rsid w:val="00450ECD"/>
    <w:rsid w:val="00475AC3"/>
    <w:rsid w:val="00505A47"/>
    <w:rsid w:val="005478E6"/>
    <w:rsid w:val="00573345"/>
    <w:rsid w:val="007C3C8A"/>
    <w:rsid w:val="008C18AE"/>
    <w:rsid w:val="008C51A3"/>
    <w:rsid w:val="009B7B6C"/>
    <w:rsid w:val="009E34A7"/>
    <w:rsid w:val="00A00A41"/>
    <w:rsid w:val="00A725F0"/>
    <w:rsid w:val="00AF1058"/>
    <w:rsid w:val="00B25177"/>
    <w:rsid w:val="00BB2834"/>
    <w:rsid w:val="00D054EF"/>
    <w:rsid w:val="00DA50F2"/>
    <w:rsid w:val="00F20763"/>
    <w:rsid w:val="00F7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5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5F0"/>
  </w:style>
  <w:style w:type="paragraph" w:styleId="a5">
    <w:name w:val="Plain Text"/>
    <w:basedOn w:val="a"/>
    <w:link w:val="a6"/>
    <w:rsid w:val="00A7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725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9</cp:revision>
  <dcterms:created xsi:type="dcterms:W3CDTF">2014-10-22T16:18:00Z</dcterms:created>
  <dcterms:modified xsi:type="dcterms:W3CDTF">2014-10-22T23:26:00Z</dcterms:modified>
</cp:coreProperties>
</file>