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3C" w:rsidRPr="00A97104" w:rsidRDefault="00FA2D3C" w:rsidP="00FA2D3C">
      <w:pPr>
        <w:spacing w:line="312" w:lineRule="auto"/>
        <w:jc w:val="center"/>
        <w:rPr>
          <w:b/>
          <w:bCs/>
          <w:sz w:val="28"/>
          <w:szCs w:val="28"/>
        </w:rPr>
      </w:pPr>
      <w:r w:rsidRPr="00A97104">
        <w:rPr>
          <w:b/>
          <w:bCs/>
          <w:sz w:val="28"/>
          <w:szCs w:val="28"/>
        </w:rPr>
        <w:t>Лекция 1</w:t>
      </w:r>
    </w:p>
    <w:p w:rsidR="00FA2D3C" w:rsidRPr="00A97104" w:rsidRDefault="00FA2D3C" w:rsidP="00FA2D3C">
      <w:pPr>
        <w:spacing w:line="312" w:lineRule="auto"/>
        <w:jc w:val="center"/>
        <w:rPr>
          <w:b/>
          <w:bCs/>
          <w:sz w:val="28"/>
          <w:szCs w:val="28"/>
        </w:rPr>
      </w:pPr>
    </w:p>
    <w:p w:rsidR="00FA2D3C" w:rsidRPr="00A97104" w:rsidRDefault="00FA2D3C" w:rsidP="00FA2D3C">
      <w:pPr>
        <w:spacing w:line="312" w:lineRule="auto"/>
        <w:jc w:val="center"/>
        <w:rPr>
          <w:sz w:val="28"/>
          <w:szCs w:val="28"/>
        </w:rPr>
      </w:pPr>
      <w:r w:rsidRPr="00A97104">
        <w:rPr>
          <w:b/>
          <w:bCs/>
          <w:sz w:val="28"/>
          <w:szCs w:val="28"/>
        </w:rPr>
        <w:t>Понятие о сырьевой базе рыбной промышленности</w:t>
      </w:r>
    </w:p>
    <w:p w:rsidR="00FA2D3C" w:rsidRPr="00A97104" w:rsidRDefault="00FA2D3C" w:rsidP="00FA2D3C">
      <w:pPr>
        <w:spacing w:line="312" w:lineRule="auto"/>
        <w:rPr>
          <w:sz w:val="28"/>
          <w:szCs w:val="28"/>
        </w:rPr>
      </w:pP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Рыбная отрасль представляет собой сложный, органически взаимосвязанный производственно-хозяйственный комплекс с развитой многоотраслевой кооперацией и международными связями. </w:t>
      </w:r>
      <w:proofErr w:type="gramStart"/>
      <w:r w:rsidRPr="00A97104">
        <w:rPr>
          <w:sz w:val="28"/>
          <w:szCs w:val="28"/>
        </w:rPr>
        <w:t xml:space="preserve">Она </w:t>
      </w:r>
      <w:r w:rsidRPr="00A97104">
        <w:rPr>
          <w:b/>
          <w:sz w:val="28"/>
          <w:szCs w:val="28"/>
        </w:rPr>
        <w:t>объединяет</w:t>
      </w:r>
      <w:r w:rsidRPr="00A97104">
        <w:rPr>
          <w:sz w:val="28"/>
          <w:szCs w:val="28"/>
        </w:rPr>
        <w:t xml:space="preserve"> не только </w:t>
      </w:r>
      <w:r w:rsidRPr="00A97104">
        <w:rPr>
          <w:b/>
          <w:sz w:val="28"/>
          <w:szCs w:val="28"/>
        </w:rPr>
        <w:t>рыболовство</w:t>
      </w:r>
      <w:r w:rsidRPr="00A97104">
        <w:rPr>
          <w:sz w:val="28"/>
          <w:szCs w:val="28"/>
        </w:rPr>
        <w:t xml:space="preserve"> и </w:t>
      </w:r>
      <w:r w:rsidRPr="00A97104">
        <w:rPr>
          <w:b/>
          <w:sz w:val="28"/>
          <w:szCs w:val="28"/>
        </w:rPr>
        <w:t>производство пищевой продукции</w:t>
      </w:r>
      <w:r w:rsidRPr="00A97104">
        <w:rPr>
          <w:sz w:val="28"/>
          <w:szCs w:val="28"/>
        </w:rPr>
        <w:t xml:space="preserve">, но и ряд смежных вспомогательных и обслуживающих производств - </w:t>
      </w:r>
      <w:r w:rsidRPr="00A97104">
        <w:rPr>
          <w:b/>
          <w:sz w:val="28"/>
          <w:szCs w:val="28"/>
        </w:rPr>
        <w:t>судостроение, судоремонт, тарное и сетевязальное, портовые службы, товарные хозяйства по разведению рыбы</w:t>
      </w:r>
      <w:r w:rsidRPr="00A97104">
        <w:rPr>
          <w:sz w:val="28"/>
          <w:szCs w:val="28"/>
        </w:rPr>
        <w:t xml:space="preserve"> и др. Важную роль рыбное хозяйство играет в качестве поставщика технической и кормовой продукции (мука, рыба и фарш) для комбикормовой промышленности, животноводства и птицеводства, зверохозяйств, а также сырья и полуфабрикатов для</w:t>
      </w:r>
      <w:proofErr w:type="gramEnd"/>
      <w:r w:rsidRPr="00A97104">
        <w:rPr>
          <w:sz w:val="28"/>
          <w:szCs w:val="28"/>
        </w:rPr>
        <w:t xml:space="preserve"> медицинской, пищевой, легкой промышленности и других отраслей.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b/>
          <w:sz w:val="28"/>
          <w:szCs w:val="28"/>
        </w:rPr>
      </w:pPr>
      <w:proofErr w:type="gramStart"/>
      <w:r w:rsidRPr="00A97104">
        <w:rPr>
          <w:sz w:val="28"/>
          <w:szCs w:val="28"/>
        </w:rPr>
        <w:t>В ряде регионов нашей страны, особенно в прибрежных, окраинных, в том числе отдаленных северных районах (Приморский и Хабаровский края, Мурманская, Архангельская, Камчатская, Магаданская и Сахалинская области) рыбное хозяйство является градообразующей отраслью, одним из основных источников занятости населения.</w:t>
      </w:r>
      <w:proofErr w:type="gramEnd"/>
      <w:r w:rsidRPr="00A97104">
        <w:rPr>
          <w:sz w:val="28"/>
          <w:szCs w:val="28"/>
        </w:rPr>
        <w:t xml:space="preserve"> </w:t>
      </w:r>
      <w:r w:rsidRPr="00A97104">
        <w:rPr>
          <w:b/>
          <w:sz w:val="28"/>
          <w:szCs w:val="28"/>
        </w:rPr>
        <w:t>В Дальневосточном экономическом районе</w:t>
      </w:r>
      <w:r w:rsidRPr="00A97104">
        <w:rPr>
          <w:sz w:val="28"/>
          <w:szCs w:val="28"/>
        </w:rPr>
        <w:t xml:space="preserve"> на долю рыбного хозяйства </w:t>
      </w:r>
      <w:r w:rsidRPr="00A97104">
        <w:rPr>
          <w:b/>
          <w:sz w:val="28"/>
          <w:szCs w:val="28"/>
        </w:rPr>
        <w:t xml:space="preserve">приходится около 50 % товарной продукции, </w:t>
      </w:r>
      <w:proofErr w:type="gramStart"/>
      <w:r w:rsidRPr="00A97104">
        <w:rPr>
          <w:b/>
          <w:sz w:val="28"/>
          <w:szCs w:val="28"/>
        </w:rPr>
        <w:t>в</w:t>
      </w:r>
      <w:proofErr w:type="gramEnd"/>
      <w:r w:rsidRPr="00A97104">
        <w:rPr>
          <w:b/>
          <w:sz w:val="28"/>
          <w:szCs w:val="28"/>
        </w:rPr>
        <w:t xml:space="preserve"> Северном - более 20 %.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A97104">
        <w:rPr>
          <w:b/>
          <w:bCs/>
          <w:sz w:val="28"/>
          <w:szCs w:val="28"/>
        </w:rPr>
        <w:t>Основные фонды.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Основой производственного потенциала рыбной отрасли является флот, составляющий более половины общей стоимости ее основных фондов. Согласно данным ФАР (Федеральное агентство по рыболовству), в 21 веке по Государственному судовому реестру в отрасли насчитывалось 3869 единиц флота мощностью около 3 млн</w:t>
      </w:r>
      <w:proofErr w:type="gramStart"/>
      <w:r w:rsidRPr="00A97104">
        <w:rPr>
          <w:sz w:val="28"/>
          <w:szCs w:val="28"/>
        </w:rPr>
        <w:t>.к</w:t>
      </w:r>
      <w:proofErr w:type="gramEnd"/>
      <w:r w:rsidRPr="00A97104">
        <w:rPr>
          <w:sz w:val="28"/>
          <w:szCs w:val="28"/>
        </w:rPr>
        <w:t xml:space="preserve">Вт.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Структура флота на 65% представлена добывающим, из которого 367 ед. являются крупнотоннажными, 1494 ед. среднетоннажными судами. Остальное количество флота представлено приемно-транспортными судами - 279 единиц. Флот обеспечивает большую часть производства рыбной продукции отрасли, вместе с тем недоиспользует свои мощности по основным видам обработки от 21 до 41 %.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Отсутствие государственной политики в отрасли по обновлению рыбопромыслового флота приводит к ухудшению его состояния. Списание флота отрасли за период с 1990 по 1998 годы составило 1363 единицы (35% от общего количества судов). За этот же период пополнение флота составили 1243 единицы. Но из приобретенных судов только 578 единиц (47%) составляет новый флот. Остальные, как правило, суда старой постройки перекуплены у других бассейнов, предприятий России, а также дальнего и ближнего зарубежья. В результате эффективность использования основных фондов уменьшилась.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1998 году производственные мощности флота по выпуску продукции сократились в сравнении с 1991 годом по мороженой продукции в 2,2 раза, консервам - в 6,9 раза, рыбной муки - в 3,2 раза.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A97104">
        <w:rPr>
          <w:b/>
          <w:bCs/>
          <w:sz w:val="28"/>
          <w:szCs w:val="28"/>
        </w:rPr>
        <w:t>Трудовые ресурсы.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Согласно данным ФАР России, в отрасли на 1 января </w:t>
      </w:r>
      <w:smartTag w:uri="urn:schemas-microsoft-com:office:smarttags" w:element="metricconverter">
        <w:smartTagPr>
          <w:attr w:name="ProductID" w:val="1998 г"/>
        </w:smartTagPr>
        <w:r w:rsidRPr="00A97104">
          <w:rPr>
            <w:sz w:val="28"/>
            <w:szCs w:val="28"/>
          </w:rPr>
          <w:t>1998 г</w:t>
        </w:r>
      </w:smartTag>
      <w:r w:rsidRPr="00A97104">
        <w:rPr>
          <w:sz w:val="28"/>
          <w:szCs w:val="28"/>
        </w:rPr>
        <w:t xml:space="preserve">. было занято 398 тыс. человек, что по сравнению с 1990 годом составило 70,4%, сокращение численности произошло на 167 тыс. человек. Согласно данным Госкомстата России, число работников, выбывших из рыбной отрасли, в 1,5 раза превышает численность принятых. При этом процент выбывших работников по рыбной отрасли почти в 2 раза выше, чем в промышленности страны и пищевой промышленности. Образовательный уровень </w:t>
      </w:r>
      <w:proofErr w:type="gramStart"/>
      <w:r w:rsidRPr="00A97104">
        <w:rPr>
          <w:sz w:val="28"/>
          <w:szCs w:val="28"/>
        </w:rPr>
        <w:t>работающих</w:t>
      </w:r>
      <w:proofErr w:type="gramEnd"/>
      <w:r w:rsidRPr="00A97104">
        <w:rPr>
          <w:sz w:val="28"/>
          <w:szCs w:val="28"/>
        </w:rPr>
        <w:t xml:space="preserve"> в отрасли сравнительно стабилен. Порядка 26-27 % </w:t>
      </w:r>
      <w:proofErr w:type="gramStart"/>
      <w:r w:rsidRPr="00A97104">
        <w:rPr>
          <w:sz w:val="28"/>
          <w:szCs w:val="28"/>
        </w:rPr>
        <w:t>работающих</w:t>
      </w:r>
      <w:proofErr w:type="gramEnd"/>
      <w:r w:rsidRPr="00A97104">
        <w:rPr>
          <w:sz w:val="28"/>
          <w:szCs w:val="28"/>
        </w:rPr>
        <w:t xml:space="preserve"> имеют высшее и среднее специальное образование.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На текучесть кадров рыбной отрасли в значительной мере сказывается степень материальной удовлетворенности результатами труда. В 1990 году средняя заработная плата одного работника рыбной отрасли составляла в месяц 559 рублей, что в 1,8 раза было выше, чем в среднем по промышленности страны и по пищевой промышленности в частности. А за 10 лет она лишь на 20 % превысила среднюю зарплату одного работающего, занятого в пищевой и промышленности страны в целом.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Размещение объемов уловов России по укрупненным районам рыболовства в 1990-</w:t>
      </w:r>
      <w:smartTag w:uri="urn:schemas-microsoft-com:office:smarttags" w:element="metricconverter">
        <w:smartTagPr>
          <w:attr w:name="ProductID" w:val="1998 г"/>
        </w:smartTagPr>
        <w:r w:rsidRPr="00A97104">
          <w:rPr>
            <w:b/>
            <w:sz w:val="28"/>
            <w:szCs w:val="28"/>
          </w:rPr>
          <w:t>1998 г</w:t>
        </w:r>
      </w:smartTag>
      <w:r w:rsidRPr="00A97104">
        <w:rPr>
          <w:b/>
          <w:sz w:val="28"/>
          <w:szCs w:val="28"/>
        </w:rPr>
        <w:t>.</w:t>
      </w:r>
    </w:p>
    <w:p w:rsidR="00FA2D3C" w:rsidRPr="00A97104" w:rsidRDefault="00FA2D3C" w:rsidP="00FA2D3C">
      <w:pPr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20815" cy="2117725"/>
            <wp:effectExtent l="0" t="0" r="0" b="0"/>
            <wp:docPr id="1" name="Рисунок 1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Такое перераспределение промысловых усилий в 1990-1998 годах было вызвано не изменениями в состоянии сырьевой базы рыболовства, а экономическими (переход от плановой системы к рыночным отношениям) и организационными (потерей управляемости флотом со стороны центра) причинами.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За прошедший 9-летний период произошли естественные изменения в состоянии сырьевых рыбных запасов в самой исключительной экономической зоне России и на континентальном шельфе. Прежде всего, в основном районе отечественного рыболовства - в морях Дальневосточного бассейна снизились запасы сардин, ивасей, которые ранее давали уловы до 400-700 тыс. т (в настоящее время промысел не ведется). </w:t>
      </w:r>
      <w:proofErr w:type="gramStart"/>
      <w:r w:rsidRPr="00A97104">
        <w:rPr>
          <w:sz w:val="28"/>
          <w:szCs w:val="28"/>
        </w:rPr>
        <w:t>Не в лучшем состоянии находятся запасы минтая и его вылов по рекомендации ученых сокращен с 3,5 до 2,8 млн. т, а на 2000 год - не более 1,8 млн. т. Одновременно в дальневосточных морях недоиспользуются запасы таких высокоценных объектов как сайра (возможный вылов не менее 150 тыс. т), мойва (возможный вылов 322 тыс. т), кальмары (возможный вылов 381,5 тыс. т), камбаловые</w:t>
      </w:r>
      <w:proofErr w:type="gramEnd"/>
      <w:r w:rsidRPr="00A97104">
        <w:rPr>
          <w:sz w:val="28"/>
          <w:szCs w:val="28"/>
        </w:rPr>
        <w:t xml:space="preserve"> (не менее 120 тыс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) и др. Кроме того, в период увеличения численности лососевых промышленность, как правило, не готова добыть и переработать весь возможный улов.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 настоящее время распределение квот на вылов рыбы осуществляется исходя из наличия рыбопромыслового флота у рыбохозяйственных предприятий. Однако при этом не учитываются промысловые возможности района лова, техническая и организационная готовность рыбохозяйственных организаций к промыслу. Это приводит к дроблению квот, уменьшению промысловых возможностей района, неконтролируемому перелову водных биоресурсов.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Экономический механизм.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 xml:space="preserve">С 1995 года отрасль стала убыточной. </w:t>
      </w:r>
      <w:r w:rsidRPr="00A97104">
        <w:rPr>
          <w:sz w:val="28"/>
          <w:szCs w:val="28"/>
        </w:rPr>
        <w:t>На примере Приморского края, который производит порядка 33-37% всей рыбопродукции России, характерна экономическая экспансия иностранных компаний в рыбную отрасль России. Скрытая экспансия осуществляется путем проникновения инофирм в ИЭЗ России в целях добычи и переработки морских ресурсов и извлечения неучтенной прибыли - наиболее опасная, поскольку основывается на пробелах в российском законодательстве.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 xml:space="preserve">Основные формы скрытой экспансии следующие: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-добыча иностранными судами в ИЭЗ под российским флагом (бербоут-чартерная схема);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-фактическая предоплата инофирмами рыбопродукции на условиях кредитования;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-скупка рыбопродукции в районах промысла за наличный расчет с последующим перегрузом на транспортные суда, зафрахтованные инофирмами, и вывоз ее без таможенного оформления;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-сдача в аренду российских судов и замена российской команды иностранными рыбаками, либо дискриминация российских экипажей при определении фонда заработной платы;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-передача инофирмам квот и права на оперативное управление судами в счет долгов;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-создание отраслевых совместных предприятий в целях получения льготных квот, либо перекупка квот иностранными и связанными с ними компаниями у российских предприятий под видом целевых кредитов.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Одним из прямых следствий иностранной экспансии в сфере рыбного промысла, переработки и реализации рыбной продукции является крайне низкий уровень налоговых платежей, поступающих от всей отрасли по отношению к общему объему налоговых сборов в крае, который колеблется от 3,1% в 1996 году до 4% за 8 месяцев </w:t>
      </w:r>
      <w:smartTag w:uri="urn:schemas-microsoft-com:office:smarttags" w:element="metricconverter">
        <w:smartTagPr>
          <w:attr w:name="ProductID" w:val="1998 г"/>
        </w:smartTagPr>
        <w:r w:rsidRPr="00A97104">
          <w:rPr>
            <w:sz w:val="28"/>
            <w:szCs w:val="28"/>
          </w:rPr>
          <w:t>1998 г</w:t>
        </w:r>
      </w:smartTag>
      <w:r w:rsidRPr="00A97104">
        <w:rPr>
          <w:sz w:val="28"/>
          <w:szCs w:val="28"/>
        </w:rPr>
        <w:t>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A97104">
        <w:rPr>
          <w:b/>
          <w:bCs/>
          <w:sz w:val="28"/>
          <w:szCs w:val="28"/>
        </w:rPr>
        <w:t>Потенциал развития рыбной отрасли.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Реальная возможность увеличения сырьевого потенциала - это выход (точнее возвращение) на промысел в зоны открытого моря и экономические зоны зарубежных государств. Сырьевые ресурсы могут быть также увеличены за счет сокращения потерь и упорядочения промысловых </w:t>
      </w:r>
      <w:r w:rsidRPr="00A97104">
        <w:rPr>
          <w:sz w:val="28"/>
          <w:szCs w:val="28"/>
        </w:rPr>
        <w:lastRenderedPageBreak/>
        <w:t xml:space="preserve">операций. Ежегодно потери лосося у берегов Камчатки составляют до 30 %.  Важным резервом сырьевой базы на Дальнем Востоке являются неиспользуемые длительное время ресурсы прибрежной зоны рыболовства и рыбы материкового склона. Принятая программа администрацией края о развитии прибрежного рыболовства не выполняется. 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Долгосрочным интересам России отвечает снижение прессинга промысла на сырьевые ресурсы собственной 200-мильной ИЭЗ, особенно на наиболее ценные (в стоимостном выражении), в целях создания здесь устойчивого рыбного хозяйства, способного обеспечить ритмичное поступление рыбопродукции, прежде всего, на внутренний рынок страны, что будет отвечать и продовольственной безопасности России. В этой связи освоение и развитие отечественного рыболовства, которое бы использовало сырьевые ресурсы открытых районов Мирового океана, является одной из главных задач, тем более что именно в этих районах можно добывать не только массовые пелагические виды, но иметь достаточно сырья для выработки рыбной муки для сельского хозяйства.</w:t>
      </w:r>
    </w:p>
    <w:p w:rsidR="00FA2D3C" w:rsidRPr="00A97104" w:rsidRDefault="00FA2D3C" w:rsidP="00FA2D3C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Несмотря на имеющиеся серьезные проблемы, рыбохозяйственный научно-технический потенциал в своей основе сохранен и при надлежащем финансировании </w:t>
      </w:r>
      <w:proofErr w:type="gramStart"/>
      <w:r w:rsidRPr="00A97104">
        <w:rPr>
          <w:sz w:val="28"/>
          <w:szCs w:val="28"/>
        </w:rPr>
        <w:t>начать</w:t>
      </w:r>
      <w:proofErr w:type="gramEnd"/>
      <w:r w:rsidRPr="00A97104">
        <w:rPr>
          <w:sz w:val="28"/>
          <w:szCs w:val="28"/>
        </w:rPr>
        <w:t xml:space="preserve"> выход из кризиса. </w:t>
      </w:r>
      <w:proofErr w:type="gramStart"/>
      <w:r w:rsidRPr="00A97104">
        <w:rPr>
          <w:sz w:val="28"/>
          <w:szCs w:val="28"/>
        </w:rPr>
        <w:t>Для решения перспективных задач требуется усиление научно-технического потенциала, что может быть осуществлено за счет обновления основных фондов, прежде всего, научно-исследовательского флота, а также более рационального выбора основных направлений исследований в таких областях, как усовершенствование методов определения состояния рыбных запасов, использования сырьевых ресурсов при переработке на пищевые, технические цели и для медицинской промышленности.</w:t>
      </w:r>
      <w:proofErr w:type="gramEnd"/>
    </w:p>
    <w:p w:rsidR="00FA2D3C" w:rsidRDefault="00FA2D3C" w:rsidP="00FA2D3C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C"/>
    <w:rsid w:val="004441DC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D3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A2D3C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A2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3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D3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A2D3C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A2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2014-03-02T14:18:00Z</dcterms:created>
  <dcterms:modified xsi:type="dcterms:W3CDTF">2014-03-02T14:18:00Z</dcterms:modified>
</cp:coreProperties>
</file>