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5B" w:rsidRPr="00A97104" w:rsidRDefault="002E7B5B" w:rsidP="002E7B5B">
      <w:pPr>
        <w:pStyle w:val="Style11"/>
        <w:widowControl/>
        <w:spacing w:line="312" w:lineRule="auto"/>
        <w:ind w:firstLine="709"/>
        <w:rPr>
          <w:rStyle w:val="FontStyle41"/>
          <w:sz w:val="28"/>
          <w:szCs w:val="28"/>
        </w:rPr>
      </w:pPr>
      <w:r w:rsidRPr="00A97104">
        <w:rPr>
          <w:rStyle w:val="FontStyle41"/>
          <w:sz w:val="28"/>
          <w:szCs w:val="28"/>
        </w:rPr>
        <w:t>Лекция 10.</w:t>
      </w:r>
    </w:p>
    <w:p w:rsidR="002E7B5B" w:rsidRPr="00A97104" w:rsidRDefault="002E7B5B" w:rsidP="002E7B5B">
      <w:pPr>
        <w:pStyle w:val="Style11"/>
        <w:widowControl/>
        <w:spacing w:line="312" w:lineRule="auto"/>
        <w:ind w:firstLine="709"/>
        <w:rPr>
          <w:rStyle w:val="FontStyle41"/>
          <w:sz w:val="28"/>
          <w:szCs w:val="28"/>
        </w:rPr>
      </w:pPr>
      <w:r w:rsidRPr="00A97104">
        <w:rPr>
          <w:rStyle w:val="FontStyle41"/>
          <w:sz w:val="28"/>
          <w:szCs w:val="28"/>
        </w:rPr>
        <w:t>Понятие о потенциальной промысловой продуктивности</w:t>
      </w:r>
    </w:p>
    <w:p w:rsidR="002E7B5B" w:rsidRPr="00A97104" w:rsidRDefault="002E7B5B" w:rsidP="002E7B5B">
      <w:pPr>
        <w:pStyle w:val="Style11"/>
        <w:widowControl/>
        <w:spacing w:line="312" w:lineRule="auto"/>
        <w:ind w:firstLine="709"/>
        <w:rPr>
          <w:rStyle w:val="FontStyle41"/>
          <w:sz w:val="28"/>
          <w:szCs w:val="28"/>
        </w:rPr>
      </w:pPr>
      <w:r w:rsidRPr="00A97104">
        <w:rPr>
          <w:rStyle w:val="FontStyle41"/>
          <w:sz w:val="28"/>
          <w:szCs w:val="28"/>
        </w:rPr>
        <w:t>Мирового океана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Под потенциальной промысловой продуктивностью любого водоема пони</w:t>
      </w:r>
      <w:r w:rsidRPr="00A97104">
        <w:rPr>
          <w:rStyle w:val="FontStyle43"/>
          <w:sz w:val="28"/>
          <w:szCs w:val="28"/>
        </w:rPr>
        <w:softHyphen/>
        <w:t>мают потенциально возможное годовое изъятие из него промысловых гидробионтов без ущерба для их воспроизводства.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Эта величина зависит от воспроизводительной способности запаса гидробионта, которая складывается из таких биологических особенностей каждой по</w:t>
      </w:r>
      <w:r w:rsidRPr="00A97104">
        <w:rPr>
          <w:rStyle w:val="FontStyle43"/>
          <w:sz w:val="28"/>
          <w:szCs w:val="28"/>
        </w:rPr>
        <w:softHyphen/>
        <w:t>пуляции, как темпы размножения, роста и убыли по различным причинам.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Воспроизводительную способность запаса того или иного гидробионта не</w:t>
      </w:r>
      <w:r w:rsidRPr="00A97104">
        <w:rPr>
          <w:rStyle w:val="FontStyle43"/>
          <w:sz w:val="28"/>
          <w:szCs w:val="28"/>
        </w:rPr>
        <w:softHyphen/>
        <w:t>плохо отражает такой показатель, как Р/В-коэффициент. Обычно принято счи</w:t>
      </w:r>
      <w:r w:rsidRPr="00A97104">
        <w:rPr>
          <w:rStyle w:val="FontStyle43"/>
          <w:sz w:val="28"/>
          <w:szCs w:val="28"/>
        </w:rPr>
        <w:softHyphen/>
        <w:t>тать, что промысел без ущерба для запаса может изымать около половины годо</w:t>
      </w:r>
      <w:r w:rsidRPr="00A97104">
        <w:rPr>
          <w:rStyle w:val="FontStyle43"/>
          <w:sz w:val="28"/>
          <w:szCs w:val="28"/>
        </w:rPr>
        <w:softHyphen/>
        <w:t>вой продукции, или около 0,3 среднегодовой биомассы. Если исходить из этого, то можно получить следующие ориентировочные оценки возможного годового изъятия основных групп нектона, а также криля (в млрд. т).</w:t>
      </w:r>
    </w:p>
    <w:p w:rsidR="002E7B5B" w:rsidRPr="00A97104" w:rsidRDefault="002E7B5B" w:rsidP="002E7B5B">
      <w:pPr>
        <w:pStyle w:val="Style20"/>
        <w:widowControl/>
        <w:tabs>
          <w:tab w:val="left" w:pos="6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1.</w:t>
      </w:r>
      <w:r w:rsidRPr="00A97104">
        <w:rPr>
          <w:rStyle w:val="FontStyle43"/>
          <w:sz w:val="28"/>
          <w:szCs w:val="28"/>
        </w:rPr>
        <w:tab/>
        <w:t>Планктоноядные и хищные пелагические и донные рыбы:</w:t>
      </w:r>
      <w:r w:rsidRPr="00A97104">
        <w:rPr>
          <w:rStyle w:val="FontStyle43"/>
          <w:sz w:val="28"/>
          <w:szCs w:val="28"/>
        </w:rPr>
        <w:br/>
        <w:t>0,3В (биомассы) = 0,5 млрд. т; 0,5Р (продукции)=0,3 млрд. т.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center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Среднее значение - 0,4 млрд. т.</w:t>
      </w:r>
    </w:p>
    <w:p w:rsidR="002E7B5B" w:rsidRPr="00A97104" w:rsidRDefault="002E7B5B" w:rsidP="002E7B5B">
      <w:pPr>
        <w:pStyle w:val="Style20"/>
        <w:widowControl/>
        <w:tabs>
          <w:tab w:val="left" w:pos="6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2.</w:t>
      </w:r>
      <w:r w:rsidRPr="00A97104">
        <w:rPr>
          <w:rStyle w:val="FontStyle43"/>
          <w:sz w:val="28"/>
          <w:szCs w:val="28"/>
        </w:rPr>
        <w:tab/>
        <w:t>Мелкие мезопелагические рыбы:</w:t>
      </w:r>
      <w:r w:rsidRPr="00A97104">
        <w:rPr>
          <w:rStyle w:val="FontStyle43"/>
          <w:sz w:val="28"/>
          <w:szCs w:val="28"/>
        </w:rPr>
        <w:br/>
        <w:t>0,3В= 0,3 млрд. т; 0,5Р=0,6 млрд. т.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center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Среднее значение - 0,45 млрд. т.</w:t>
      </w:r>
    </w:p>
    <w:p w:rsidR="002E7B5B" w:rsidRPr="00A97104" w:rsidRDefault="002E7B5B" w:rsidP="002E7B5B">
      <w:pPr>
        <w:pStyle w:val="Style20"/>
        <w:widowControl/>
        <w:tabs>
          <w:tab w:val="left" w:pos="6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3.</w:t>
      </w:r>
      <w:r w:rsidRPr="00A97104">
        <w:rPr>
          <w:rStyle w:val="FontStyle43"/>
          <w:sz w:val="28"/>
          <w:szCs w:val="28"/>
        </w:rPr>
        <w:tab/>
        <w:t>Криль: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left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0,3В= 0,66 млрд. т; 0,5Р=0,45 млрд. т.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center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Среднее значение - 0,55 млрд. т.</w:t>
      </w:r>
    </w:p>
    <w:p w:rsidR="002E7B5B" w:rsidRPr="00A97104" w:rsidRDefault="002E7B5B" w:rsidP="002E7B5B">
      <w:pPr>
        <w:pStyle w:val="Style20"/>
        <w:widowControl/>
        <w:tabs>
          <w:tab w:val="left" w:pos="6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4.</w:t>
      </w:r>
      <w:r w:rsidRPr="00A97104">
        <w:rPr>
          <w:rStyle w:val="FontStyle43"/>
          <w:sz w:val="28"/>
          <w:szCs w:val="28"/>
        </w:rPr>
        <w:tab/>
        <w:t>Кальмары: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left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0,3В=84 млн. т; 0,5Р=425 млн. т.</w:t>
      </w:r>
    </w:p>
    <w:p w:rsidR="002E7B5B" w:rsidRPr="00A97104" w:rsidRDefault="002E7B5B" w:rsidP="002E7B5B">
      <w:pPr>
        <w:pStyle w:val="Style18"/>
        <w:widowControl/>
        <w:spacing w:line="312" w:lineRule="auto"/>
        <w:ind w:firstLine="709"/>
        <w:jc w:val="center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Среднее значение - 255 млн. т.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Таким образом, для основных промысловых групп нектона (рыб, кальмаров) и криля потенциальная промысловая продукция Мирового океана составляет около 1,6-1,7 млрд. т.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Среди этих факторов основную роль играют: наличие соответствующего </w:t>
      </w:r>
      <w:r w:rsidRPr="00A97104">
        <w:rPr>
          <w:rStyle w:val="FontStyle43"/>
          <w:sz w:val="28"/>
          <w:szCs w:val="28"/>
        </w:rPr>
        <w:lastRenderedPageBreak/>
        <w:t>промыслового флота, разработанных орудий и методов лова, технологии производства продук</w:t>
      </w:r>
      <w:r w:rsidRPr="00A97104">
        <w:rPr>
          <w:rStyle w:val="FontStyle43"/>
          <w:sz w:val="28"/>
          <w:szCs w:val="28"/>
        </w:rPr>
        <w:softHyphen/>
        <w:t>ции, судовой и береговой инфраструктуры переработки и хранения продукции, рынков сбыта и экономических предпосылок для развития того или иного про</w:t>
      </w:r>
      <w:r w:rsidRPr="00A97104">
        <w:rPr>
          <w:rStyle w:val="FontStyle43"/>
          <w:sz w:val="28"/>
          <w:szCs w:val="28"/>
        </w:rPr>
        <w:softHyphen/>
        <w:t>мысла.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Значительную роль играют также ограничения на промысел, вводимые соот</w:t>
      </w:r>
      <w:r w:rsidRPr="00A97104">
        <w:rPr>
          <w:rStyle w:val="FontStyle43"/>
          <w:sz w:val="28"/>
          <w:szCs w:val="28"/>
        </w:rPr>
        <w:softHyphen/>
        <w:t>ветствующими международными организациями и странами - хозяевами при</w:t>
      </w:r>
      <w:r w:rsidRPr="00A97104">
        <w:rPr>
          <w:rStyle w:val="FontStyle43"/>
          <w:sz w:val="28"/>
          <w:szCs w:val="28"/>
        </w:rPr>
        <w:softHyphen/>
        <w:t>брежных шельфовых зон океана.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 учетом этих факторов реально можно прогнозировать рост мирового улова в отдаленной перспективе до величины не более 260 млн. т, в том числе 120 млн. т традиционных видов рыб, 100 млн. т мелких мезопелагических рыб, 30 млн. т криля и 10 млн. т кальмаров.</w:t>
      </w:r>
    </w:p>
    <w:p w:rsidR="002E7B5B" w:rsidRPr="00A97104" w:rsidRDefault="002E7B5B" w:rsidP="002E7B5B">
      <w:pPr>
        <w:pStyle w:val="Style11"/>
        <w:widowControl/>
        <w:spacing w:line="312" w:lineRule="auto"/>
        <w:ind w:firstLine="709"/>
        <w:rPr>
          <w:rStyle w:val="FontStyle41"/>
          <w:sz w:val="28"/>
          <w:szCs w:val="28"/>
        </w:rPr>
      </w:pPr>
      <w:r w:rsidRPr="00A97104">
        <w:rPr>
          <w:rStyle w:val="FontStyle41"/>
          <w:sz w:val="28"/>
          <w:szCs w:val="28"/>
        </w:rPr>
        <w:t>Понятие о биологической мелиорации океана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Для того, чтобы улучшить (с позиций человека) 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"биологиче</w:t>
      </w:r>
      <w:r w:rsidRPr="00A97104">
        <w:rPr>
          <w:rStyle w:val="FontStyle43"/>
          <w:sz w:val="28"/>
          <w:szCs w:val="28"/>
        </w:rPr>
        <w:softHyphen/>
        <w:t>ской мелиорации". Для этого используют целенаправленный промысел опреде</w:t>
      </w:r>
      <w:r w:rsidRPr="00A97104">
        <w:rPr>
          <w:rStyle w:val="FontStyle43"/>
          <w:sz w:val="28"/>
          <w:szCs w:val="28"/>
        </w:rPr>
        <w:softHyphen/>
        <w:t>ленных видов, входящих в сообщество, который позволяет:</w:t>
      </w:r>
    </w:p>
    <w:p w:rsidR="002E7B5B" w:rsidRPr="00A97104" w:rsidRDefault="002E7B5B" w:rsidP="002E7B5B">
      <w:pPr>
        <w:pStyle w:val="Style19"/>
        <w:widowControl/>
        <w:numPr>
          <w:ilvl w:val="0"/>
          <w:numId w:val="1"/>
        </w:numPr>
        <w:tabs>
          <w:tab w:val="left" w:pos="5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сократить биомассу и численность многих животных, являющихся в данной экосистеме так называемыми "кормовыми тупиками", поглощающими кормовые ресурсы, необходимые для других звеньев трофической цепи;</w:t>
      </w:r>
    </w:p>
    <w:p w:rsidR="002E7B5B" w:rsidRPr="00A97104" w:rsidRDefault="002E7B5B" w:rsidP="002E7B5B">
      <w:pPr>
        <w:pStyle w:val="Style19"/>
        <w:widowControl/>
        <w:numPr>
          <w:ilvl w:val="0"/>
          <w:numId w:val="1"/>
        </w:numPr>
        <w:tabs>
          <w:tab w:val="left" w:pos="5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изменить в нужную для человека сторону количественное соотношение ви</w:t>
      </w:r>
      <w:r w:rsidRPr="00A97104">
        <w:rPr>
          <w:rStyle w:val="FontStyle43"/>
          <w:sz w:val="28"/>
          <w:szCs w:val="28"/>
        </w:rPr>
        <w:softHyphen/>
        <w:t>дов гидробионтов в том или ином водоеме;</w:t>
      </w:r>
    </w:p>
    <w:p w:rsidR="002E7B5B" w:rsidRPr="00A97104" w:rsidRDefault="002E7B5B" w:rsidP="002E7B5B">
      <w:pPr>
        <w:pStyle w:val="Style19"/>
        <w:widowControl/>
        <w:numPr>
          <w:ilvl w:val="0"/>
          <w:numId w:val="1"/>
        </w:numPr>
        <w:tabs>
          <w:tab w:val="left" w:pos="5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обеспечить лучшие условия для существования наиболее важных для про</w:t>
      </w:r>
      <w:r w:rsidRPr="00A97104">
        <w:rPr>
          <w:rStyle w:val="FontStyle43"/>
          <w:sz w:val="28"/>
          <w:szCs w:val="28"/>
        </w:rPr>
        <w:softHyphen/>
        <w:t>мысла популяций;</w:t>
      </w:r>
    </w:p>
    <w:p w:rsidR="002E7B5B" w:rsidRPr="00A97104" w:rsidRDefault="002E7B5B" w:rsidP="002E7B5B">
      <w:pPr>
        <w:pStyle w:val="Style19"/>
        <w:widowControl/>
        <w:numPr>
          <w:ilvl w:val="0"/>
          <w:numId w:val="1"/>
        </w:numPr>
        <w:tabs>
          <w:tab w:val="left" w:pos="562"/>
        </w:tabs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вселить в водоем виды, полезные для человека (ценные в пищевом отноше</w:t>
      </w:r>
      <w:r w:rsidRPr="00A97104">
        <w:rPr>
          <w:rStyle w:val="FontStyle43"/>
          <w:sz w:val="28"/>
          <w:szCs w:val="28"/>
        </w:rPr>
        <w:softHyphen/>
        <w:t>нии, использующие нетронутые ресурсы пищи, потребляющие в пищу тупико</w:t>
      </w:r>
      <w:r w:rsidRPr="00A97104">
        <w:rPr>
          <w:rStyle w:val="FontStyle43"/>
          <w:sz w:val="28"/>
          <w:szCs w:val="28"/>
        </w:rPr>
        <w:softHyphen/>
        <w:t>вые ресурсы, являющиеся ценными кормовыми объектами и т. п.).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Характерно, что широко практикуемое нерегулируемое рыболовство в ряде морей и участков Мирового океана за последние десятилетия привело к замене высокоценных в пищевом отношении видов рыб на малоценные. Это произош</w:t>
      </w:r>
      <w:r w:rsidRPr="00A97104">
        <w:rPr>
          <w:rStyle w:val="FontStyle43"/>
          <w:sz w:val="28"/>
          <w:szCs w:val="28"/>
        </w:rPr>
        <w:softHyphen/>
        <w:t>ло, в частности, в наших южных морях, где ценные осетровые, карповые и оку</w:t>
      </w:r>
      <w:r w:rsidRPr="00A97104">
        <w:rPr>
          <w:rStyle w:val="FontStyle43"/>
          <w:sz w:val="28"/>
          <w:szCs w:val="28"/>
        </w:rPr>
        <w:softHyphen/>
        <w:t xml:space="preserve">невые рыбы уступили место малоценным и мелким рыбам - </w:t>
      </w:r>
      <w:r w:rsidRPr="00A97104">
        <w:rPr>
          <w:rStyle w:val="FontStyle43"/>
          <w:sz w:val="28"/>
          <w:szCs w:val="28"/>
        </w:rPr>
        <w:lastRenderedPageBreak/>
        <w:t>шпротам, килькам, анчоусам и т.п. То же самое произошло и в некоторых интенсивно эксплуати</w:t>
      </w:r>
      <w:r w:rsidRPr="00A97104">
        <w:rPr>
          <w:rStyle w:val="FontStyle43"/>
          <w:sz w:val="28"/>
          <w:szCs w:val="28"/>
        </w:rPr>
        <w:softHyphen/>
        <w:t>руемых участках Мирового океана: например, в водах Калифорнийского залива и у юго-западного побережья Африки более ценные сардины вытесняются менее ценными анчоусами. Кроме того, под влиянием чрезмерно интенсивного про</w:t>
      </w:r>
      <w:r w:rsidRPr="00A97104">
        <w:rPr>
          <w:rStyle w:val="FontStyle43"/>
          <w:sz w:val="28"/>
          <w:szCs w:val="28"/>
        </w:rPr>
        <w:softHyphen/>
        <w:t>мысла меняется и структура популяций промысловых объектов, в частности, происходит их омоложение, иногда - более раннее половое созревание. Это ухудшает пищевую ценность гидробионтов для человека, снижает их воспроиз</w:t>
      </w:r>
      <w:r w:rsidRPr="00A97104">
        <w:rPr>
          <w:rStyle w:val="FontStyle43"/>
          <w:sz w:val="28"/>
          <w:szCs w:val="28"/>
        </w:rPr>
        <w:softHyphen/>
        <w:t>водительную способность.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Поэтому необходим жестко регулируемый на научной основе промысел, ба</w:t>
      </w:r>
      <w:r w:rsidRPr="00A97104">
        <w:rPr>
          <w:rStyle w:val="FontStyle43"/>
          <w:sz w:val="28"/>
          <w:szCs w:val="28"/>
        </w:rPr>
        <w:softHyphen/>
        <w:t>зирующийся на знании структуры и свойств эксплуатируемых экосистем и про</w:t>
      </w:r>
      <w:r w:rsidRPr="00A97104">
        <w:rPr>
          <w:rStyle w:val="FontStyle43"/>
          <w:sz w:val="28"/>
          <w:szCs w:val="28"/>
        </w:rPr>
        <w:softHyphen/>
        <w:t>гнозе их изменений под влиянием промысла и различных мер его регулирова</w:t>
      </w:r>
      <w:r w:rsidRPr="00A97104">
        <w:rPr>
          <w:rStyle w:val="FontStyle43"/>
          <w:sz w:val="28"/>
          <w:szCs w:val="28"/>
        </w:rPr>
        <w:softHyphen/>
        <w:t>ния.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Только такое рыболовство позволит улучшать (с позиций человека) качество этих экосистем и сообществ, то есть осуществлять их биологическую мелиора</w:t>
      </w:r>
      <w:r w:rsidRPr="00A97104">
        <w:rPr>
          <w:rStyle w:val="FontStyle43"/>
          <w:sz w:val="28"/>
          <w:szCs w:val="28"/>
        </w:rPr>
        <w:softHyphen/>
        <w:t>цию.</w:t>
      </w:r>
    </w:p>
    <w:p w:rsidR="002E7B5B" w:rsidRPr="00A97104" w:rsidRDefault="002E7B5B" w:rsidP="002E7B5B">
      <w:pPr>
        <w:pStyle w:val="Style17"/>
        <w:widowControl/>
        <w:spacing w:line="312" w:lineRule="auto"/>
        <w:ind w:firstLine="709"/>
        <w:rPr>
          <w:rStyle w:val="FontStyle43"/>
          <w:sz w:val="28"/>
          <w:szCs w:val="28"/>
        </w:rPr>
      </w:pPr>
      <w:r w:rsidRPr="00A97104">
        <w:rPr>
          <w:rStyle w:val="FontStyle43"/>
          <w:sz w:val="28"/>
          <w:szCs w:val="28"/>
        </w:rPr>
        <w:t>Вместе с тем следует иметь в виду, что любое недостаточно продуманное вмешательство человека в природные экосистемы может привести к весьма не</w:t>
      </w:r>
      <w:r w:rsidRPr="00A97104">
        <w:rPr>
          <w:rStyle w:val="FontStyle43"/>
          <w:sz w:val="28"/>
          <w:szCs w:val="28"/>
        </w:rPr>
        <w:softHyphen/>
        <w:t>гативным для них последствиям, а иногда и полностью и безвозвратно разру</w:t>
      </w:r>
      <w:r w:rsidRPr="00A97104">
        <w:rPr>
          <w:rStyle w:val="FontStyle43"/>
          <w:sz w:val="28"/>
          <w:szCs w:val="28"/>
        </w:rPr>
        <w:softHyphen/>
        <w:t>шить их.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Развитие мирового рыболовства на протяжении XX в. не было равномерным. Довоенный уровень рыболовства был восстановлен уже к </w:t>
      </w:r>
      <w:smartTag w:uri="urn:schemas-microsoft-com:office:smarttags" w:element="metricconverter">
        <w:smartTagPr>
          <w:attr w:name="ProductID" w:val="1950 г"/>
        </w:smartTagPr>
        <w:r w:rsidRPr="00A97104">
          <w:rPr>
            <w:sz w:val="28"/>
            <w:szCs w:val="28"/>
          </w:rPr>
          <w:t>1950 г</w:t>
        </w:r>
      </w:smartTag>
      <w:r w:rsidRPr="00A97104">
        <w:rPr>
          <w:sz w:val="28"/>
          <w:szCs w:val="28"/>
        </w:rPr>
        <w:t>., а затем в течение 20 лет наблюдался очень быстрый его подъем: в 1950—1970 гг. уловы возросли в 3,3 раза при среднегодовом приросте в 2,4 млн т. Неудивительно, что в литературе этот период иногда называют золотым веком рыболовства. Объяснить такой подъем можно несколькими причинами — и модернизацией траулерного флота, и переходом от прибрежного рыболовства к дальнему экспедиционному лову,</w:t>
      </w:r>
      <w:r w:rsidRPr="00A97104">
        <w:rPr>
          <w:i/>
          <w:iCs/>
          <w:sz w:val="28"/>
          <w:szCs w:val="28"/>
        </w:rPr>
        <w:t xml:space="preserve"> </w:t>
      </w:r>
      <w:r w:rsidRPr="00A97104">
        <w:rPr>
          <w:sz w:val="28"/>
          <w:szCs w:val="28"/>
        </w:rPr>
        <w:t>и тем, что за годы Второй мировой войны биоресурсы океанов — особенно Атлантического — успели естественным путем восстановиться. Однако уже в 70-х годах результаты перелова рыбы привели к резкому сокращению темпов развития отpacли, которые затем с большим трудом удалось восстановить, но, можно сказать, с потерей качества.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Под этим термином следует, прежде всего, понимать изменения в составе мирового улова, в котором на рыбу приходится около 85</w:t>
      </w:r>
      <w:r w:rsidRPr="00A97104">
        <w:rPr>
          <w:i/>
          <w:iCs/>
          <w:sz w:val="28"/>
          <w:szCs w:val="28"/>
        </w:rPr>
        <w:t>%,</w:t>
      </w:r>
      <w:r w:rsidRPr="00A97104">
        <w:rPr>
          <w:sz w:val="28"/>
          <w:szCs w:val="28"/>
        </w:rPr>
        <w:t xml:space="preserve"> на беспозвоночных — 10, а на млекопитающих и прочих водных животных и </w:t>
      </w:r>
      <w:r w:rsidRPr="00A97104">
        <w:rPr>
          <w:sz w:val="28"/>
          <w:szCs w:val="28"/>
        </w:rPr>
        <w:lastRenderedPageBreak/>
        <w:t>водные растения — остальные 5</w:t>
      </w:r>
      <w:r w:rsidRPr="00A97104">
        <w:rPr>
          <w:i/>
          <w:iCs/>
          <w:sz w:val="28"/>
          <w:szCs w:val="28"/>
        </w:rPr>
        <w:t>%.</w:t>
      </w:r>
      <w:r w:rsidRPr="00A97104">
        <w:rPr>
          <w:sz w:val="28"/>
          <w:szCs w:val="28"/>
        </w:rPr>
        <w:t xml:space="preserve"> В период «золотого века» основной улов рыбы обеспечивали 10 наиболее ценных ее семейств — </w:t>
      </w:r>
      <w:r w:rsidRPr="00A97104">
        <w:rPr>
          <w:b/>
          <w:sz w:val="28"/>
          <w:szCs w:val="28"/>
        </w:rPr>
        <w:t>сельдевые, тресковые, ставридовые, скумбриевые, анчоусовые и др.</w:t>
      </w:r>
      <w:r w:rsidRPr="00A97104">
        <w:rPr>
          <w:sz w:val="28"/>
          <w:szCs w:val="28"/>
        </w:rPr>
        <w:t xml:space="preserve"> Но в результате значительного перелова и исчерпания,  доля наиболее ценных биоресурсов в общем улове сильно сократилась, а преобладать в нем стали менее ценные по пищевым качествам виды рыбы (мойва, минтай, макрель, хек). Можно добавить, что соотношение между морским и пресноводным рыболовством также несколько изменилось: доля последнего, ранее составлявшая около 10%, увеличилась к середине 90-х годов до 15</w:t>
      </w:r>
      <w:r w:rsidRPr="00A97104">
        <w:rPr>
          <w:i/>
          <w:iCs/>
          <w:sz w:val="28"/>
          <w:szCs w:val="28"/>
        </w:rPr>
        <w:t>%</w:t>
      </w:r>
      <w:r w:rsidRPr="00A97104">
        <w:rPr>
          <w:sz w:val="28"/>
          <w:szCs w:val="28"/>
        </w:rPr>
        <w:t>.  Все эти структурные изменения сопровождаются значительными сдвигами в географии мирового морского рыболовства. Проследить их можно на нескольких уровнях.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Ежегодное общемировое производство рыбы, главным образом, за счет увеличения ее производства в условиях аквакультуры, продолжает увеличиваться, однако темпы прироста заметно снизились по сравнению с серединой 90-х годов прошлого столетия.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Вылов рыбы традиционными способами остается практически неизменным на протяжении последних 10-15 лет и колеблется в пределах 120-140 млн. т. Основная причина стагнации морского рыбного промысла, как считают международные эксперты, заключается в истощении естественных рыбных запасов главным образом из-за их чрезмерной эксплуатации.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Детальные данные о мировом вылове, продукции аквакультуры и производстве рыбных товаров в последние годы таковы: Россия ежегодно вылавливает около 3,2 млн. т. рыбы, ракообразных и моллюсков, занимая примерно 7 место по морскому промыслу.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К настоящему времени ресурсное состояние 600 видовых групп таково, что 52% их запасов практически полностью использованы, чрезмерно разработаны – 17%, опустошены – 7%, восстанавливаются после хищнической эксплуатации – лишь 1%. В средней стадии эксплуатации находится 20% мировых запасов, и только 3% считаются недоиспользованными. Промысловые запасы семи из десяти основных видов морских рыб, на долю которых приходится около 30% мирового производства рыбной продукции, сильно истощены. По оценкам экспертов ФАО, это означает невозможность увеличения морского рыбного промысла в ближайшем будущем, а продолжение добычи в сложившихся объемах влечет </w:t>
      </w:r>
      <w:r w:rsidRPr="00A97104">
        <w:rPr>
          <w:sz w:val="28"/>
          <w:szCs w:val="28"/>
        </w:rPr>
        <w:lastRenderedPageBreak/>
        <w:t>за собой необратимые биологические и экономические последствия для рыболовства в целом. Более половины запасов далеко мигрирующих акул и 66% глубоководных и прибрежных рыбных запасов находится на стадии полного исчезновения, включая такие виды, как хек, атлантическая сельдь и палтус, австралийский лосось, китовые акулы и обыкновенный тунец. В частности, Северо-Восточная, Северо-Западная и Юго-Восточная Атлантика, Средиземное море и Черное море требуют срочного оздоровления, поскольку запасы рыбы в них подходят к уровню, который может быть уже в скором времени отнесен к категории опустошенный или истощенный.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Истощение морских рыбных запасов, негативно влияет не только на обеспечение продовольственной безопасности и экономическое развитие целого ряда стран, но и отрицательно сказывается на биологически сложной подводной экосистеме. Главная стратегия, которой должны придерживаться все страны, заключается в заметном сокращении или временной приостановке рыболовства в опустошенных зонах, принятию срочных мер по восстановлению морской экосистемы и улучшению естественных условий обитания. Несмотря на предпринимаемые ФАО усилия, уже не удастся достичь заметного прогресса в области восстановления к 2015 году полностью выработанных рыбных запасов, как это предполагалось на Конференции по устойчивому развитию в 2002 году.</w:t>
      </w:r>
    </w:p>
    <w:p w:rsidR="002E7B5B" w:rsidRPr="00A97104" w:rsidRDefault="002E7B5B" w:rsidP="002E7B5B">
      <w:pPr>
        <w:pStyle w:val="1"/>
        <w:spacing w:line="312" w:lineRule="auto"/>
        <w:ind w:firstLine="709"/>
      </w:pPr>
      <w:bookmarkStart w:id="0" w:name="_Toc514335026"/>
    </w:p>
    <w:p w:rsidR="002E7B5B" w:rsidRPr="00A97104" w:rsidRDefault="002E7B5B" w:rsidP="002E7B5B">
      <w:pPr>
        <w:pStyle w:val="1"/>
        <w:spacing w:line="312" w:lineRule="auto"/>
        <w:ind w:firstLine="709"/>
      </w:pPr>
      <w:r w:rsidRPr="00A97104">
        <w:t>Оценка сырьевой базы рыболовства</w:t>
      </w:r>
      <w:bookmarkEnd w:id="0"/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Сырьевая база рыболовства – это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промыслов осваивается некоторая совокупность видов рыб, млекопитающих или беспозвоночных, представляющая собой «промыслово-географический комплекс» (ПГК, Т.С. Расс, </w:t>
      </w:r>
      <w:smartTag w:uri="urn:schemas-microsoft-com:office:smarttags" w:element="metricconverter">
        <w:smartTagPr>
          <w:attr w:name="ProductID" w:val="1979 г"/>
        </w:smartTagPr>
        <w:r w:rsidRPr="00A97104">
          <w:rPr>
            <w:sz w:val="28"/>
            <w:szCs w:val="28"/>
          </w:rPr>
          <w:t>1979 г</w:t>
        </w:r>
      </w:smartTag>
      <w:r w:rsidRPr="00A97104">
        <w:rPr>
          <w:sz w:val="28"/>
          <w:szCs w:val="28"/>
        </w:rPr>
        <w:t>.), особи которого и составляют основу уловов.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Сырьевая база дальневосточной рыбной промышленности всегда была достаточно обширна, и разведанные запасы почти всегда превышали возможности их освоения. Промыслы и сейчас, и в прошлом базировались на немногих высокочисленных видах. Из рыб это минтай, лосось, сельдь, треска. В 70-80-х гг. в этом списке обязательно значились обитатели южных широт: сардина-иваси и скумбрия. На остальные промысловые виды -более </w:t>
      </w:r>
      <w:r w:rsidRPr="00A97104">
        <w:rPr>
          <w:sz w:val="28"/>
          <w:szCs w:val="28"/>
        </w:rPr>
        <w:lastRenderedPageBreak/>
        <w:t xml:space="preserve">100, риходится всего 10-15% общей массы уловов. Традиционно в совокупном  вылове очень велика доля морских млекопитающих и водорослей. В таблице 2 представлены данные вылова за наиболее показательные прошедшие годы и прогноз </w:t>
      </w:r>
      <w:smartTag w:uri="urn:schemas-microsoft-com:office:smarttags" w:element="metricconverter">
        <w:smartTagPr>
          <w:attr w:name="ProductID" w:val="2005 г"/>
        </w:smartTagPr>
        <w:r w:rsidRPr="00A97104">
          <w:rPr>
            <w:sz w:val="28"/>
            <w:szCs w:val="28"/>
          </w:rPr>
          <w:t>2005 г</w:t>
        </w:r>
      </w:smartTag>
      <w:r w:rsidRPr="00A97104">
        <w:rPr>
          <w:sz w:val="28"/>
          <w:szCs w:val="28"/>
        </w:rPr>
        <w:t>.</w:t>
      </w:r>
    </w:p>
    <w:p w:rsidR="002E7B5B" w:rsidRPr="00A97104" w:rsidRDefault="002E7B5B" w:rsidP="002E7B5B">
      <w:pPr>
        <w:spacing w:line="312" w:lineRule="auto"/>
        <w:ind w:firstLine="709"/>
        <w:jc w:val="right"/>
        <w:outlineLvl w:val="0"/>
        <w:rPr>
          <w:sz w:val="28"/>
          <w:szCs w:val="28"/>
        </w:rPr>
      </w:pPr>
      <w:r w:rsidRPr="00A97104">
        <w:rPr>
          <w:sz w:val="28"/>
          <w:szCs w:val="28"/>
        </w:rPr>
        <w:t>Таблица 2</w:t>
      </w:r>
    </w:p>
    <w:p w:rsidR="002E7B5B" w:rsidRPr="00A97104" w:rsidRDefault="002E7B5B" w:rsidP="002E7B5B">
      <w:pPr>
        <w:pStyle w:val="21"/>
        <w:spacing w:after="0" w:line="312" w:lineRule="auto"/>
        <w:ind w:firstLine="709"/>
        <w:rPr>
          <w:b/>
          <w:sz w:val="28"/>
          <w:szCs w:val="28"/>
        </w:rPr>
      </w:pPr>
      <w:r w:rsidRPr="00A97104">
        <w:rPr>
          <w:b/>
          <w:sz w:val="28"/>
          <w:szCs w:val="28"/>
        </w:rPr>
        <w:t>Структура сырьевой базы (СБ) тихоокеанского бассейна и совокупного вылова российского рыболовства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25"/>
        <w:gridCol w:w="1276"/>
        <w:gridCol w:w="1275"/>
        <w:gridCol w:w="1418"/>
        <w:gridCol w:w="1276"/>
        <w:gridCol w:w="1275"/>
      </w:tblGrid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1994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1998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1999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2005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Сырьевая база и общий вылов, млн. т.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4,9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4,3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nil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4,6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рыба, %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90,2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89,5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86,0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82,8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84,0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79,0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в т.ч. минтай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61,4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62,4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58,0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49,6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45,1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50,0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лосось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3,3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4,0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4,2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сельдь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11,7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11,1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3,8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сардина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0,7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6,1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скумбрия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4,4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треска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5,3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3,8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3,6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5,3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прочая рыба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8,9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14,9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8,4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15,9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11,5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краб, креветка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1,9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1,9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1,7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кальмар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2,4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6,4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11,7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9,1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16,2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пр. беспозвоночные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0,3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0,3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E7B5B" w:rsidRPr="00A97104" w:rsidRDefault="002E7B5B" w:rsidP="00C179EC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водоросли</w:t>
            </w:r>
          </w:p>
        </w:tc>
        <w:tc>
          <w:tcPr>
            <w:tcW w:w="102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1,3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4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0,7</w:t>
            </w:r>
          </w:p>
        </w:tc>
      </w:tr>
    </w:tbl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8 г"/>
        </w:smartTagPr>
        <w:r w:rsidRPr="00A97104">
          <w:rPr>
            <w:sz w:val="28"/>
            <w:szCs w:val="28"/>
          </w:rPr>
          <w:t>1988 г</w:t>
        </w:r>
      </w:smartTag>
      <w:r w:rsidRPr="00A97104">
        <w:rPr>
          <w:sz w:val="28"/>
          <w:szCs w:val="28"/>
        </w:rPr>
        <w:t xml:space="preserve">. – год максимального за всю историю годового вылова, </w:t>
      </w:r>
      <w:smartTag w:uri="urn:schemas-microsoft-com:office:smarttags" w:element="metricconverter">
        <w:smartTagPr>
          <w:attr w:name="ProductID" w:val="1994 г"/>
        </w:smartTagPr>
        <w:r w:rsidRPr="00A97104">
          <w:rPr>
            <w:sz w:val="28"/>
            <w:szCs w:val="28"/>
          </w:rPr>
          <w:t>1994 г</w:t>
        </w:r>
      </w:smartTag>
      <w:r w:rsidRPr="00A97104">
        <w:rPr>
          <w:sz w:val="28"/>
          <w:szCs w:val="28"/>
        </w:rPr>
        <w:t xml:space="preserve">. – год спада в переходный период. Данные за 1998, 1999 2000 и 2005 гг. отражают современное состояние отрасли, выходящей из кризиса. 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Очень крупный по любым меркам российский вылов </w:t>
      </w:r>
      <w:smartTag w:uri="urn:schemas-microsoft-com:office:smarttags" w:element="metricconverter">
        <w:smartTagPr>
          <w:attr w:name="ProductID" w:val="1988 г"/>
        </w:smartTagPr>
        <w:r w:rsidRPr="00A97104">
          <w:rPr>
            <w:sz w:val="28"/>
            <w:szCs w:val="28"/>
          </w:rPr>
          <w:t>1988 г</w:t>
        </w:r>
      </w:smartTag>
      <w:r w:rsidRPr="00A97104">
        <w:rPr>
          <w:sz w:val="28"/>
          <w:szCs w:val="28"/>
        </w:rPr>
        <w:t xml:space="preserve">. был обеспечен резким и продолжительным ростом в 80-х гг. численности всего двух видов – минтая и сардины-иваси. Это виды, при добыче которых </w:t>
      </w:r>
      <w:r w:rsidRPr="00A97104">
        <w:rPr>
          <w:sz w:val="28"/>
          <w:szCs w:val="28"/>
        </w:rPr>
        <w:lastRenderedPageBreak/>
        <w:t xml:space="preserve">организация промысла и технические возможности нашей промышленности в полной мере соответствовали биологии и поведению объектов лова. Не было проблем и со сбытом этой продукции на внутреннем рынке. В условиях того времени они создавали «вал» и потому были «любимыми» объектами промысла. На них в </w:t>
      </w:r>
      <w:smartTag w:uri="urn:schemas-microsoft-com:office:smarttags" w:element="metricconverter">
        <w:smartTagPr>
          <w:attr w:name="ProductID" w:val="1988 г"/>
        </w:smartTagPr>
        <w:r w:rsidRPr="00A97104">
          <w:rPr>
            <w:sz w:val="28"/>
            <w:szCs w:val="28"/>
          </w:rPr>
          <w:t>1988 г</w:t>
        </w:r>
      </w:smartTag>
      <w:r w:rsidRPr="00A97104">
        <w:rPr>
          <w:sz w:val="28"/>
          <w:szCs w:val="28"/>
        </w:rPr>
        <w:t xml:space="preserve">. пришлось более 80% общего вылова. Ориентация промышленности и более полное освоение запасов этих видов привела к еще большему увеличению доли рыбы в общем вылове (до 95%), сужению спектра освоенных промыслом видов и снижению уровня освоения запасов большинства из них. Максимальный вылов </w:t>
      </w:r>
      <w:smartTag w:uri="urn:schemas-microsoft-com:office:smarttags" w:element="metricconverter">
        <w:smartTagPr>
          <w:attr w:name="ProductID" w:val="1988 г"/>
        </w:smartTagPr>
        <w:r w:rsidRPr="00A97104">
          <w:rPr>
            <w:sz w:val="28"/>
            <w:szCs w:val="28"/>
          </w:rPr>
          <w:t>1988 г</w:t>
        </w:r>
      </w:smartTag>
      <w:r w:rsidRPr="00A97104">
        <w:rPr>
          <w:sz w:val="28"/>
          <w:szCs w:val="28"/>
        </w:rPr>
        <w:t xml:space="preserve">. соответствовал периоду чрезвычайно благоприятного для отечественной рыбной промышленности состояния сырьевой базы в 70-80-е гг. </w:t>
      </w:r>
    </w:p>
    <w:p w:rsidR="002E7B5B" w:rsidRPr="00A97104" w:rsidRDefault="002E7B5B" w:rsidP="002E7B5B">
      <w:pPr>
        <w:pStyle w:val="a3"/>
        <w:spacing w:line="312" w:lineRule="auto"/>
        <w:rPr>
          <w:sz w:val="28"/>
          <w:szCs w:val="28"/>
        </w:rPr>
      </w:pPr>
      <w:r w:rsidRPr="00A97104">
        <w:rPr>
          <w:sz w:val="28"/>
          <w:szCs w:val="28"/>
        </w:rPr>
        <w:t>Как видно из таблицы 2, с 1988 по 1998 гг. произошли очень серьезные изменения, и 1998 год, вероятно, можно считать началом периода относительной стабилизации сырьевой базы в новом ее состоянии, но на более низком уровне рыбопродуктивности.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Оценки общего допустимого улова (ОДУ) после </w:t>
      </w:r>
      <w:smartTag w:uri="urn:schemas-microsoft-com:office:smarttags" w:element="metricconverter">
        <w:smartTagPr>
          <w:attr w:name="ProductID" w:val="1990 г"/>
        </w:smartTagPr>
        <w:r w:rsidRPr="00A97104">
          <w:rPr>
            <w:sz w:val="28"/>
            <w:szCs w:val="28"/>
          </w:rPr>
          <w:t>1990 г</w:t>
        </w:r>
      </w:smartTag>
      <w:r w:rsidRPr="00A97104">
        <w:rPr>
          <w:sz w:val="28"/>
          <w:szCs w:val="28"/>
        </w:rPr>
        <w:t xml:space="preserve">. изменились и достигли минимума в 1993-1994 гг. Это снижение связано с резким сокращением численности сардины (ее промысел в ИЭЗ России нашим флотом был прекращен) и ярко выраженным к этому времени сокращением численности минтая. В </w:t>
      </w:r>
      <w:smartTag w:uri="urn:schemas-microsoft-com:office:smarttags" w:element="metricconverter">
        <w:smartTagPr>
          <w:attr w:name="ProductID" w:val="1993 г"/>
        </w:smartTagPr>
        <w:r w:rsidRPr="00A97104">
          <w:rPr>
            <w:sz w:val="28"/>
            <w:szCs w:val="28"/>
          </w:rPr>
          <w:t>1993 г</w:t>
        </w:r>
      </w:smartTag>
      <w:r w:rsidRPr="00A97104">
        <w:rPr>
          <w:sz w:val="28"/>
          <w:szCs w:val="28"/>
        </w:rPr>
        <w:t>. совокупный ОДУ в экономической зоне России снизился до 4,1 млн. тонн. В дальнейшем усилиями рыбохозяйственной науки совокупный ОДУ в ИЭЗ РФ был стабилизирован на уровне 4,3-4,6 млн. тонн. В 2000 году произошло снижение общего ОДУ до 4.2 млн. тонн, в основном за счет лосося и минтая.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Структура вылова в эти годы менялась не вполне синхронно с изменениями сырьевой базы. В годы максимального вылова основными объектами  промысла были минтай (65,0%) и сардина (16,3%). Только 14,2% приходилось на остальные виды рыбы и 2,4% - на беспозвоночных. В годы минимального вылова, при снижении численности минтая, его доля в вылове возросла до 77,5%, другие виды рыбы составляли 19,7%, до 2,7% возросла в совокупном вылове доля беспозвоночных (в основном за счет ракообразных). Тенденции роста вылова, проявившиеся в 1996-2000 гг., мало изменили эту картину.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lastRenderedPageBreak/>
        <w:t>Доминирование в структуре уловов одного вида (минтая) делает наше рыболовство на Дальнем Востоке очень уязвимым. Так, появившиеся в последние два года изменения размерной структуры уловов минтая с повышением в условиях доли мелкой рыбы (что связано с появлением в 1995-1997 гг. высокоурожайных поколений) резко снизили эффективность промыслов минтая, как в Охотском, так и Беренговом морях.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A97104">
          <w:rPr>
            <w:sz w:val="28"/>
            <w:szCs w:val="28"/>
          </w:rPr>
          <w:t>1996 г</w:t>
        </w:r>
      </w:smartTag>
      <w:r w:rsidRPr="00A97104">
        <w:rPr>
          <w:sz w:val="28"/>
          <w:szCs w:val="28"/>
        </w:rPr>
        <w:t>. возникла новая для нашего промысла ситуация – впервые в полной мере (в дальнейшем постоянно) был реализован ОДУ минтая и почти полностью – крабов. Стало ясно, что без переключения усилий на другие объекты промысла рост вылова невозможен. Резервы вылова этих «других объектов» довольно велики, но требуется серьезная научная проработка проблемы и развитие новых производственных мощностей по освоению этих многочисленных, но небольших по объемам (по сравнению с ОДУ минтая и камчатского краба) ресурсов рыболовства. В целом, должна быть воспринята новая культура рыболовства – «много помалу».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Таким образом, в настоящее время ожидается небольшой рост возможного вылова, расширение состава (в значительной мере вынужденное) промысловых уловов. В дальнейшем, наиболее низком, чем сейчас, уровне стабилизируется промысел минтая, восстановится полномасштабный промысел скумбрии и, возможно, будет возобновлен промысел морских млекопитающих. В структуре прогноза на перспективу (до </w:t>
      </w:r>
      <w:smartTag w:uri="urn:schemas-microsoft-com:office:smarttags" w:element="metricconverter">
        <w:smartTagPr>
          <w:attr w:name="ProductID" w:val="2010 г"/>
        </w:smartTagPr>
        <w:r w:rsidRPr="00A97104">
          <w:rPr>
            <w:sz w:val="28"/>
            <w:szCs w:val="28"/>
          </w:rPr>
          <w:t>2010 г</w:t>
        </w:r>
      </w:smartTag>
      <w:r w:rsidRPr="00A97104">
        <w:rPr>
          <w:sz w:val="28"/>
          <w:szCs w:val="28"/>
        </w:rPr>
        <w:t>.) не ожидается сколько-нибудь значительных изменений сырьевой базы рыболовства. Сардина вновь появится в большом количестве, вероятно, не ранее 2020-2030 гг. По-прежнему будет доминировать минтай, но его доля понизится до 50-55%.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Основным источником отечественного вылова в перспективе по-прежнему останутся сырьевые ресурсы Охотского и Берингова морей.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В отношении развития сырьевой базы главным резервом российского рыболовства на Дальнем Востоке России будут разведанные, но недоосвоенные ресурсы трески (40-50 тыс. тонн), сайры (150-200 тыс. тонн), камбалы (70-80 тыс. тонн), мойвы (60-80 тыс. тонн), пелагических и донных кальмаров (200-300 тыс. тонн) и, в удаленной перспективе, возможно, мезопелагических рыб (не менее 0,8 млн. тонн). С учетом других объектов (песчанка, скаты, некоторые беспозвоночные, водоросли и др.) общий резерв </w:t>
      </w:r>
      <w:r w:rsidRPr="00A97104">
        <w:rPr>
          <w:sz w:val="28"/>
          <w:szCs w:val="28"/>
        </w:rPr>
        <w:lastRenderedPageBreak/>
        <w:t>для наращивания уловов по традиционным объектам должен составить 1,1 млн. тонн, а с учетом мезопелагических рыб – около 2,0 млн. тонн.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Важную роль в наращивании уловов должны сыграть ресурсы материкового склона морей ИЭЗ России. Площадь океанического дна с перепадом глубин от 200 до </w:t>
      </w:r>
      <w:smartTag w:uri="urn:schemas-microsoft-com:office:smarttags" w:element="metricconverter">
        <w:smartTagPr>
          <w:attr w:name="ProductID" w:val="1000 м"/>
        </w:smartTagPr>
        <w:r w:rsidRPr="00A97104">
          <w:rPr>
            <w:sz w:val="28"/>
            <w:szCs w:val="28"/>
          </w:rPr>
          <w:t>1000 м</w:t>
        </w:r>
      </w:smartTag>
      <w:r w:rsidRPr="00A97104">
        <w:rPr>
          <w:sz w:val="28"/>
          <w:szCs w:val="28"/>
        </w:rPr>
        <w:t>. В дальневосточных морях составляет примерно 1060 кв. км. (в т.ч. в Охотском – 946, в Японском – 188, в западной части Беренгова моря – 11, в Прикурильском районе – 8), что сопоставимо с общей площадью Японского моря. Донные и природные ресурсы этого участка морского дна весьма разнообразны (макрурус, лемонема, морской окунь, палтус, камбала, скат и некоторые другие виды рыбы, кальмар и другие беспозвоночные). Места скопления некоторых из них известны, но промысел ведется недостаточно, а то и вообще отсутствует по причине технических трудностей широкого применения траловых орудий лова из-за сложности рельефа дна. Другие орудия лова (сети, ярусы, ловушки) на этих скоплениях пока почти не применяются. Недостаточно разработана или не освоена промышленностью и технология обработки данных объектов лова. Наиболее многочисленные на свале рыбы – макрурус и другие виды – почти не облавливаются. Их мясо не отвечает необходимым технологическим требованиям, а вот икра и печень отличаются высоким качеством и пригодны для выпуска ценных пищевых продуктов и лекарственных препаратов.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Особо внимательно следует отнестись к ресурсам «территориального моря» - 12-мильной зоны Дальнего Востока. В настоящее время промысел здесь базируется на достаточно хорошо изученных объектах, таких как сельдь, навага, камбала, треска, лосось, краб, креветка, водоросли. Кроме того, в связи с недостаточной изученностью, неосвоенной пока остается  многочисленная группа разных гидробионтов, которые очень перспективны в плане наращивания уловов (бычок, мойва, песчанка, ликоды, некоторые виды ракообразных, иглокожих, моллюском). Вовлечение в их сферу рыболовства могло бы дать дополнительный вылов в несколько сот тысяч тонн.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 xml:space="preserve">В пределах территориального моря Приморья возможен промысел лосося, сельди, минтая, терпуга, трески, бычка, ската и ряда других видов рыб, вылов которых может составить 30-50 тыс. тонн. Значительную роль могут играть и названные выше пелагические виды, мигрирующие с юга, - скумбрия и анчоус. Численность их находится на подъеме в основных районах обитания, что проявляется в расширении нагульных ареалов и </w:t>
      </w:r>
      <w:r w:rsidRPr="00A97104">
        <w:rPr>
          <w:sz w:val="28"/>
          <w:szCs w:val="28"/>
        </w:rPr>
        <w:lastRenderedPageBreak/>
        <w:t>повышении миграционной активности. В перспективе ожидаются их массовые подходы к берегам Приморья, что позволит существенно (на 50-100%) увеличить масштабы вылова рыбы и кальмара.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Вылов нерыбных объектов в Приморье возможен в объеме 25-45 тыс. тонн. Сюда включены краб, креветка, двустворчатые моллюски, осьминог, многие другие беспозвоночные, водоросли. Если принять во внимание и ресурсы мигрирующего с юга пелагического тихоокеанского кальмара, который в отдельные годы подходит к берегам Приморья в большом количестве, а лов его возможен без ограничений, на первых порах следует – только по высокоценным объектам – на объем вылова в 50 тыс. тонн. Общий возможный вылов доступных гидробионтов в Приморье составляет 70-110 тыс. тонн.</w:t>
      </w: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Не менее значительными, чем в Приморье, представляются (по приблизительным оценкам) ресурсы прибрежной зоны других краев и областей Дальнего Востока (табл. 3).</w:t>
      </w:r>
    </w:p>
    <w:p w:rsidR="002E7B5B" w:rsidRPr="00A97104" w:rsidRDefault="002E7B5B" w:rsidP="002E7B5B">
      <w:pPr>
        <w:spacing w:line="312" w:lineRule="auto"/>
        <w:ind w:firstLine="709"/>
        <w:jc w:val="right"/>
        <w:outlineLvl w:val="0"/>
        <w:rPr>
          <w:sz w:val="28"/>
          <w:szCs w:val="28"/>
        </w:rPr>
      </w:pPr>
      <w:r w:rsidRPr="00A97104">
        <w:rPr>
          <w:sz w:val="28"/>
          <w:szCs w:val="28"/>
        </w:rPr>
        <w:t>Таблица 3</w:t>
      </w:r>
    </w:p>
    <w:p w:rsidR="002E7B5B" w:rsidRPr="00A97104" w:rsidRDefault="002E7B5B" w:rsidP="002E7B5B">
      <w:pPr>
        <w:spacing w:line="312" w:lineRule="auto"/>
        <w:ind w:firstLine="709"/>
        <w:jc w:val="center"/>
        <w:outlineLvl w:val="0"/>
        <w:rPr>
          <w:sz w:val="28"/>
          <w:szCs w:val="28"/>
        </w:rPr>
      </w:pPr>
      <w:r w:rsidRPr="00A97104">
        <w:rPr>
          <w:sz w:val="28"/>
          <w:szCs w:val="28"/>
        </w:rPr>
        <w:t xml:space="preserve">Ресурсы прибрежного рыболовства краев и областей Дальнего Востока на период до </w:t>
      </w:r>
      <w:smartTag w:uri="urn:schemas-microsoft-com:office:smarttags" w:element="metricconverter">
        <w:smartTagPr>
          <w:attr w:name="ProductID" w:val="2005 г"/>
        </w:smartTagPr>
        <w:r w:rsidRPr="00A97104">
          <w:rPr>
            <w:sz w:val="28"/>
            <w:szCs w:val="28"/>
          </w:rPr>
          <w:t>2005 г</w:t>
        </w:r>
      </w:smartTag>
      <w:r w:rsidRPr="00A97104">
        <w:rPr>
          <w:sz w:val="28"/>
          <w:szCs w:val="28"/>
        </w:rPr>
        <w:t>., тыс. т.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361"/>
        <w:gridCol w:w="2361"/>
        <w:gridCol w:w="2361"/>
      </w:tblGrid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74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Регион</w:t>
            </w:r>
          </w:p>
        </w:tc>
        <w:tc>
          <w:tcPr>
            <w:tcW w:w="708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pStyle w:val="6"/>
              <w:spacing w:before="0" w:after="0"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Показатели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bottom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Возможный вылов</w:t>
            </w:r>
          </w:p>
        </w:tc>
        <w:tc>
          <w:tcPr>
            <w:tcW w:w="2361" w:type="dxa"/>
            <w:tcBorders>
              <w:bottom w:val="nil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В т.ч. рыбы</w:t>
            </w:r>
          </w:p>
        </w:tc>
        <w:tc>
          <w:tcPr>
            <w:tcW w:w="2361" w:type="dxa"/>
            <w:tcBorders>
              <w:bottom w:val="nil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pStyle w:val="2"/>
              <w:spacing w:before="0" w:after="0" w:line="312" w:lineRule="auto"/>
              <w:ind w:firstLine="709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bookmarkStart w:id="1" w:name="_Toc514335027"/>
            <w:r w:rsidRPr="00A97104">
              <w:rPr>
                <w:rFonts w:ascii="Times New Roman" w:hAnsi="Times New Roman" w:cs="Times New Roman"/>
                <w:b w:val="0"/>
                <w:i w:val="0"/>
              </w:rPr>
              <w:t>Нерыбных объектов</w:t>
            </w:r>
            <w:bookmarkEnd w:id="1"/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70-100 (90)</w:t>
            </w:r>
          </w:p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30-50 (40)</w:t>
            </w:r>
          </w:p>
        </w:tc>
        <w:tc>
          <w:tcPr>
            <w:tcW w:w="23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40-60 (50)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225-366 (295)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110-200 (155)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115-166 (140)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13-39 (26)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12-37 (25)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1-2 (1,5)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28-125 (76)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25-121 (73)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3-4 (3,5)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 xml:space="preserve">Камчатская область 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180-350 (265)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165-323 (243)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17-28 (23)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Корякский АО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40-95 (67)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35-85 (60)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5-10 (7,5)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Чукотский АО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5-7 (6)</w:t>
            </w:r>
          </w:p>
        </w:tc>
        <w:tc>
          <w:tcPr>
            <w:tcW w:w="2361" w:type="dxa"/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0,5</w:t>
            </w:r>
          </w:p>
        </w:tc>
        <w:tc>
          <w:tcPr>
            <w:tcW w:w="2361" w:type="dxa"/>
            <w:tcBorders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sz w:val="28"/>
                <w:szCs w:val="28"/>
              </w:rPr>
            </w:pPr>
            <w:r w:rsidRPr="00A97104">
              <w:rPr>
                <w:sz w:val="28"/>
                <w:szCs w:val="28"/>
              </w:rPr>
              <w:t>5,6 (5,5)</w:t>
            </w:r>
          </w:p>
        </w:tc>
      </w:tr>
      <w:tr w:rsidR="002E7B5B" w:rsidRPr="00A97104" w:rsidTr="00C179E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7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hanging="3"/>
              <w:jc w:val="both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61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560-1100 (830)</w:t>
            </w:r>
          </w:p>
        </w:tc>
        <w:tc>
          <w:tcPr>
            <w:tcW w:w="2361" w:type="dxa"/>
            <w:tcBorders>
              <w:bottom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376-816 (596)</w:t>
            </w:r>
          </w:p>
        </w:tc>
        <w:tc>
          <w:tcPr>
            <w:tcW w:w="2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7B5B" w:rsidRPr="00A97104" w:rsidRDefault="002E7B5B" w:rsidP="00C179EC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97104">
              <w:rPr>
                <w:b/>
                <w:sz w:val="28"/>
                <w:szCs w:val="28"/>
              </w:rPr>
              <w:t>185-275 (230)</w:t>
            </w:r>
          </w:p>
        </w:tc>
      </w:tr>
    </w:tbl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</w:p>
    <w:p w:rsidR="002E7B5B" w:rsidRPr="00A97104" w:rsidRDefault="002E7B5B" w:rsidP="002E7B5B">
      <w:pPr>
        <w:spacing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lastRenderedPageBreak/>
        <w:t>Можно констатировать, что ресурсы территориального моря Дальнего Востока России в целом весьма велики, и при их освоении можно выйти на дополнительный вылов порядка 560-1100 тыс. тонн, из которых примерно 600 тыс. тонн составляет рыба и 230 – нерыбные объекты (ракообразные, моллюски, иглокожие, водоросли, морские млекопитающие).</w:t>
      </w:r>
    </w:p>
    <w:p w:rsidR="002E7B5B" w:rsidRPr="00A97104" w:rsidRDefault="002E7B5B" w:rsidP="002E7B5B">
      <w:pPr>
        <w:pStyle w:val="a3"/>
        <w:tabs>
          <w:tab w:val="left" w:pos="3261"/>
        </w:tabs>
        <w:spacing w:line="312" w:lineRule="auto"/>
        <w:rPr>
          <w:sz w:val="28"/>
          <w:szCs w:val="28"/>
        </w:rPr>
      </w:pPr>
      <w:r w:rsidRPr="00A97104">
        <w:rPr>
          <w:sz w:val="28"/>
          <w:szCs w:val="28"/>
        </w:rPr>
        <w:t>В территориальном море южных районов российского Дальнего Востока (Южные Курилы, Приморье) в теплое время года формируются единовременные запасы субтропических мигрантов, таких как анчоус, скумбрия, сайра, тихоокеанский кальмар, за счет которого может быть значительно увеличен вылов. Для их полного и биологически обоснованного освоения потребуется серьезная проработка международно-правовых вопросов совместного с определенными странами освоения этих запасов.</w:t>
      </w:r>
    </w:p>
    <w:p w:rsidR="002E7B5B" w:rsidRPr="00A97104" w:rsidRDefault="002E7B5B" w:rsidP="002E7B5B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A97104">
        <w:rPr>
          <w:sz w:val="28"/>
          <w:szCs w:val="28"/>
        </w:rPr>
        <w:t>По прогнозам специалистов, мировое производство рыбной продукции с каждым годом будет возрастать преимущественно за счет роста объемов ее выращивания в искусственных условиях. Аквакультура в объеме до 45-50 млн. т в ближайшие годы может снизить напряженность на рынках рыбных товаров при снижении цен на отдельную рыбную продукцию (форель, треска, креветки и др.) и увеличении ее предложения, однако решить весь комплекс назревших проблем, связанных с истощением морских биоресурсов, благодаря ей,  вряд ли будет возможно.</w:t>
      </w:r>
    </w:p>
    <w:p w:rsidR="002E7B5B" w:rsidRDefault="002E7B5B" w:rsidP="002E7B5B">
      <w:pPr>
        <w:pStyle w:val="a5"/>
        <w:spacing w:before="0" w:beforeAutospacing="0" w:after="0" w:afterAutospacing="0"/>
        <w:ind w:firstLine="709"/>
        <w:jc w:val="center"/>
        <w:rPr>
          <w:rStyle w:val="a6"/>
        </w:rPr>
      </w:pPr>
    </w:p>
    <w:p w:rsidR="004441DC" w:rsidRDefault="004441DC">
      <w:bookmarkStart w:id="2" w:name="_GoBack"/>
      <w:bookmarkEnd w:id="2"/>
    </w:p>
    <w:sectPr w:rsidR="0044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6C995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5B"/>
    <w:rsid w:val="002E7B5B"/>
    <w:rsid w:val="004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B5B"/>
    <w:pPr>
      <w:keepNext/>
      <w:widowControl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2E7B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E7B5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B5B"/>
    <w:rPr>
      <w:rFonts w:ascii="Times New Roman" w:eastAsia="Calibri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7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E7B5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semiHidden/>
    <w:rsid w:val="002E7B5B"/>
    <w:pPr>
      <w:tabs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semiHidden/>
    <w:rsid w:val="002E7B5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semiHidden/>
    <w:rsid w:val="002E7B5B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semiHidden/>
    <w:rsid w:val="002E7B5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E7B5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rsid w:val="002E7B5B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2E7B5B"/>
    <w:rPr>
      <w:b/>
      <w:bCs/>
    </w:rPr>
  </w:style>
  <w:style w:type="paragraph" w:customStyle="1" w:styleId="Style17">
    <w:name w:val="Style17"/>
    <w:basedOn w:val="a"/>
    <w:rsid w:val="002E7B5B"/>
    <w:pPr>
      <w:widowControl w:val="0"/>
      <w:autoSpaceDE w:val="0"/>
      <w:autoSpaceDN w:val="0"/>
      <w:adjustRightInd w:val="0"/>
      <w:spacing w:line="302" w:lineRule="exact"/>
      <w:ind w:firstLine="394"/>
      <w:jc w:val="both"/>
    </w:pPr>
    <w:rPr>
      <w:rFonts w:eastAsia="Times New Roman"/>
    </w:rPr>
  </w:style>
  <w:style w:type="character" w:customStyle="1" w:styleId="FontStyle43">
    <w:name w:val="Font Style43"/>
    <w:rsid w:val="002E7B5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E7B5B"/>
    <w:pPr>
      <w:widowControl w:val="0"/>
      <w:autoSpaceDE w:val="0"/>
      <w:autoSpaceDN w:val="0"/>
      <w:adjustRightInd w:val="0"/>
      <w:spacing w:line="562" w:lineRule="exact"/>
      <w:jc w:val="center"/>
    </w:pPr>
    <w:rPr>
      <w:rFonts w:eastAsia="Times New Roman"/>
    </w:rPr>
  </w:style>
  <w:style w:type="paragraph" w:customStyle="1" w:styleId="Style18">
    <w:name w:val="Style18"/>
    <w:basedOn w:val="a"/>
    <w:rsid w:val="002E7B5B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="Times New Roman"/>
    </w:rPr>
  </w:style>
  <w:style w:type="paragraph" w:customStyle="1" w:styleId="Style19">
    <w:name w:val="Style19"/>
    <w:basedOn w:val="a"/>
    <w:rsid w:val="002E7B5B"/>
    <w:pPr>
      <w:widowControl w:val="0"/>
      <w:autoSpaceDE w:val="0"/>
      <w:autoSpaceDN w:val="0"/>
      <w:adjustRightInd w:val="0"/>
      <w:spacing w:line="307" w:lineRule="exact"/>
      <w:ind w:firstLine="427"/>
      <w:jc w:val="both"/>
    </w:pPr>
    <w:rPr>
      <w:rFonts w:eastAsia="Times New Roman"/>
    </w:rPr>
  </w:style>
  <w:style w:type="paragraph" w:customStyle="1" w:styleId="Style20">
    <w:name w:val="Style20"/>
    <w:basedOn w:val="a"/>
    <w:rsid w:val="002E7B5B"/>
    <w:pPr>
      <w:widowControl w:val="0"/>
      <w:autoSpaceDE w:val="0"/>
      <w:autoSpaceDN w:val="0"/>
      <w:adjustRightInd w:val="0"/>
      <w:spacing w:line="293" w:lineRule="exact"/>
      <w:ind w:hanging="25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B5B"/>
    <w:pPr>
      <w:keepNext/>
      <w:widowControl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2E7B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E7B5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B5B"/>
    <w:rPr>
      <w:rFonts w:ascii="Times New Roman" w:eastAsia="Calibri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7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E7B5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semiHidden/>
    <w:rsid w:val="002E7B5B"/>
    <w:pPr>
      <w:tabs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semiHidden/>
    <w:rsid w:val="002E7B5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semiHidden/>
    <w:rsid w:val="002E7B5B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semiHidden/>
    <w:rsid w:val="002E7B5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E7B5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rsid w:val="002E7B5B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2E7B5B"/>
    <w:rPr>
      <w:b/>
      <w:bCs/>
    </w:rPr>
  </w:style>
  <w:style w:type="paragraph" w:customStyle="1" w:styleId="Style17">
    <w:name w:val="Style17"/>
    <w:basedOn w:val="a"/>
    <w:rsid w:val="002E7B5B"/>
    <w:pPr>
      <w:widowControl w:val="0"/>
      <w:autoSpaceDE w:val="0"/>
      <w:autoSpaceDN w:val="0"/>
      <w:adjustRightInd w:val="0"/>
      <w:spacing w:line="302" w:lineRule="exact"/>
      <w:ind w:firstLine="394"/>
      <w:jc w:val="both"/>
    </w:pPr>
    <w:rPr>
      <w:rFonts w:eastAsia="Times New Roman"/>
    </w:rPr>
  </w:style>
  <w:style w:type="character" w:customStyle="1" w:styleId="FontStyle43">
    <w:name w:val="Font Style43"/>
    <w:rsid w:val="002E7B5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E7B5B"/>
    <w:pPr>
      <w:widowControl w:val="0"/>
      <w:autoSpaceDE w:val="0"/>
      <w:autoSpaceDN w:val="0"/>
      <w:adjustRightInd w:val="0"/>
      <w:spacing w:line="562" w:lineRule="exact"/>
      <w:jc w:val="center"/>
    </w:pPr>
    <w:rPr>
      <w:rFonts w:eastAsia="Times New Roman"/>
    </w:rPr>
  </w:style>
  <w:style w:type="paragraph" w:customStyle="1" w:styleId="Style18">
    <w:name w:val="Style18"/>
    <w:basedOn w:val="a"/>
    <w:rsid w:val="002E7B5B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="Times New Roman"/>
    </w:rPr>
  </w:style>
  <w:style w:type="paragraph" w:customStyle="1" w:styleId="Style19">
    <w:name w:val="Style19"/>
    <w:basedOn w:val="a"/>
    <w:rsid w:val="002E7B5B"/>
    <w:pPr>
      <w:widowControl w:val="0"/>
      <w:autoSpaceDE w:val="0"/>
      <w:autoSpaceDN w:val="0"/>
      <w:adjustRightInd w:val="0"/>
      <w:spacing w:line="307" w:lineRule="exact"/>
      <w:ind w:firstLine="427"/>
      <w:jc w:val="both"/>
    </w:pPr>
    <w:rPr>
      <w:rFonts w:eastAsia="Times New Roman"/>
    </w:rPr>
  </w:style>
  <w:style w:type="paragraph" w:customStyle="1" w:styleId="Style20">
    <w:name w:val="Style20"/>
    <w:basedOn w:val="a"/>
    <w:rsid w:val="002E7B5B"/>
    <w:pPr>
      <w:widowControl w:val="0"/>
      <w:autoSpaceDE w:val="0"/>
      <w:autoSpaceDN w:val="0"/>
      <w:adjustRightInd w:val="0"/>
      <w:spacing w:line="293" w:lineRule="exact"/>
      <w:ind w:hanging="25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nigmetzyanova.maria</dc:creator>
  <cp:lastModifiedBy>nigmetzyanova.maria</cp:lastModifiedBy>
  <cp:revision>1</cp:revision>
  <dcterms:created xsi:type="dcterms:W3CDTF">2014-03-02T14:22:00Z</dcterms:created>
  <dcterms:modified xsi:type="dcterms:W3CDTF">2014-03-02T14:22:00Z</dcterms:modified>
</cp:coreProperties>
</file>