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38" w:rsidRPr="00E211D9" w:rsidRDefault="00F34FAA" w:rsidP="00C06538">
      <w:pPr>
        <w:spacing w:line="360" w:lineRule="auto"/>
        <w:jc w:val="center"/>
        <w:rPr>
          <w:rFonts w:ascii="Times New Roman" w:eastAsia="Calibri" w:hAnsi="Times New Roman"/>
          <w:b/>
          <w:i/>
          <w:sz w:val="32"/>
          <w:szCs w:val="44"/>
        </w:rPr>
      </w:pPr>
      <w:bookmarkStart w:id="0" w:name="_GoBack"/>
      <w:r>
        <w:rPr>
          <w:rFonts w:ascii="Times New Roman" w:eastAsia="Calibri" w:hAnsi="Times New Roman"/>
          <w:b/>
          <w:sz w:val="32"/>
          <w:szCs w:val="44"/>
        </w:rPr>
        <w:t xml:space="preserve">Лекция </w:t>
      </w:r>
      <w:r w:rsidR="00C06538" w:rsidRPr="00E211D9">
        <w:rPr>
          <w:rFonts w:ascii="Times New Roman" w:eastAsia="Calibri" w:hAnsi="Times New Roman"/>
          <w:b/>
          <w:sz w:val="32"/>
          <w:szCs w:val="44"/>
        </w:rPr>
        <w:t>Интеллектуальное управле</w:t>
      </w:r>
      <w:r w:rsidR="00E211D9" w:rsidRPr="00E211D9">
        <w:rPr>
          <w:rFonts w:ascii="Times New Roman" w:eastAsia="Calibri" w:hAnsi="Times New Roman"/>
          <w:b/>
          <w:sz w:val="32"/>
          <w:szCs w:val="44"/>
        </w:rPr>
        <w:t>ние энергетическими установками</w:t>
      </w:r>
      <w:bookmarkEnd w:id="0"/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ИНТЕЛЛЕКТУАЛЬНОГО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left="99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интеллектуального управления.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Интеллектуальность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большом” и “в малом”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постановка задачи управления может быть сформулирована следующим образом. Имеется некоторый динамический объект, поведение которого описывается вектором выходов (управляемых переменных объекта)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= (у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, ..., у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вектором переменных состояния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...,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</w:t>
      </w:r>
      <w:proofErr w:type="gramStart"/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“т” - символ операции транспонирования (рис.1.1). </w:t>
      </w:r>
      <w:proofErr w:type="gram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перевести данный объект из начального состояния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котором он находится в момент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заданное конечное состояние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*, которому соответствует определенное значение вектора выходов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*. Для решения этой задачи, то есть для управления состоянием объекта, используется специальное управляющее устройство, часто называемое регулятором, в функции которого входит формирование вектора</w:t>
      </w:r>
      <w:proofErr w:type="gram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управляющих воздействий (т.е. входов объекта)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U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, ... ,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заданной программой (т.е. значениями задающих воздействий, команд управления)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G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, ...)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</w:t>
      </w:r>
      <w:proofErr w:type="gramStart"/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текущими (измеряемыми) значениями компонент вектора выходов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вектора состояния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объекта.</w:t>
      </w:r>
    </w:p>
    <w:p w:rsidR="00333883" w:rsidRPr="002679B2" w:rsidRDefault="00333883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5A007F" wp14:editId="1AD20379">
            <wp:extent cx="3981450" cy="2076450"/>
            <wp:effectExtent l="0" t="0" r="0" b="0"/>
            <wp:docPr id="1" name="Рисунок 1" descr="http://texproc.ru/images/lect/ISU/int_upr/intutp_sc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proc.ru/images/lect/ISU/int_upr/intutp_scr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Рис.1.1. Общая структура системы управления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Классическая процедура синтеза управляющего устройства обычно включает в себя следующие этапы: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построение или получение математической модели объекта управления (в виде дифференциальных, разностных или интегральных уравнений, частотных характеристик и т.д.);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задание требований к качеству процессов управления, т.е. к поведению системы автоматического управления (САУ) в целом;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определение структуры и параметров управляющего устройства (также в виде некоторой аналитической зависимости, связывающей векторы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применение данного подхода на практике встречается с рядом серьезных затруднений. Так, точная математическая модель реального объекта часто оказывается слишком сложной или совсем неизвестной. Изменения окружающей среды приводят к действию на объект различного рода возмущений - сигнальных, параметрических и структурных (вектор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рис.1.1), представляющих собой дополнительный источник неопределенности о характеристиках объекта. Сложность решения данной задачи обусловлена и тем, что сами требования к системе зачастую могут быть заданы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приближенно. Более того, некоторые из них вообще могут оказаться взаимно противоречивыми. В силу этого понятно, что стремление найти решение задачи синтеза в классе простейших (стандартных) алгоритмов управления (на базе так называемых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ПИД-регуляторов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оказывается выполнимым только в тех случаях, когда объект описывается достаточно простой и понятной моделью, т.е.</w:t>
      </w:r>
      <w:r w:rsidR="00B07A73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справедлива схема</w:t>
      </w:r>
      <w:r w:rsidR="00B07A73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“простой объект </w:t>
      </w:r>
      <w:r w:rsidR="00B07A73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“→” простой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регулятор”.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 построения адаптивных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регуляторов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параметры которых автоматически перестраиваются при изменении параметров объекта, также имеет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ограниченную область применения [3]. Причины здесь, примерно, те же: трудно подобрать простой и надежный алгоритм адаптации, работоспособный в случае широкого диапазона изменения параметров объекта. Если объект управления относится к категории сложных динамических объектов, т.е. он является многомерным (имеет несколько входов и выходов), описывается дифференциальными уравнениями высокого порядка, имеет существенно нелинейные характеристики и т.п., то выбор алгоритма адаптации резко усложняется, поскольку возникает проблема сходимости (устойчивости) процессов адаптации в системе; трудно подобрать оптимальные значения параметров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адаптора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(устройства 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адаптации); многие из существующих методик анализа и синтеза адаптивных САУ связаны с чрезмерным упрощением задачи.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из сложившейся ситуации - использование алгоритмов 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интеллектуального управления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(англ. -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intelligent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control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предполагающих отказ от необходимости получения точной математической модели объекта, ориентации на применение “жестких” (простейших, как правило, линейных) алгоритмов формирования управляющих воздействий, стремления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бы то ни стало воспользоваться известными разработчику методиками синтеза, ранее положительно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зарекомендовавшими себя для других, более простых классов объектов. В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интеллектуального управления лежит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построения высокоорганизованных САУ, основанных на использовании моделей переменной сложности и неопределенности, с выполнением таких интеллектуальных функций, традиционно присущих человеку, как принятие решений, планирование поведения, обучение и самообучение в условиях изменяющейся внешней среды. Под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обучением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способность системы улучшать свое поведение в будущем, основываясь на экспериментальной информации, которую она получала в прошлом, о результатах взаимодействия с (объектом) окружающей средой.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Самообучение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обучение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внешней корректировки, т.е. без указаний “учителя”.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[3-5],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интеллектуальной системой управления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такая, в которой знания о неизвестных характеристиках объекта управления и окружающей среды формируются в процессе обучения и адаптации, а полученная при этом информация используется в процессе автоматического принятия решений так, что качество управления улучшается.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признаком интеллектуальной системы является наличие базы знаний (БЗ), содержащей сведения (факты), модели и правила, позволяющие уточнить поставленную задачу управления и выбрать рациональный способ ее решения. Нередко об интеллектуальных системах говорят как о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системах, основанных на знаниях 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knowledge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based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systems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зависимости от характера реализуемых интеллектуальных функций, т.е. от уровня интеллектуальности, различают ИСУ интеллектуальные “в большом” и “в малом” [5].</w:t>
      </w:r>
    </w:p>
    <w:p w:rsidR="00126961" w:rsidRPr="002679B2" w:rsidRDefault="00B07A73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Определение </w:t>
      </w:r>
      <w:r w:rsidR="00126961"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26961"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126961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26961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Управляющие системы,</w:t>
      </w:r>
      <w:r w:rsidR="00126961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26961"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интеллектуальные “в большом”,</w:t>
      </w:r>
      <w:r w:rsidR="00126961"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126961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системы, организованные и функционирующие в соответствии со следующими 5-ю принципами (в полном их объеме).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реальным внешним миром с использованием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каналов связи.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Принципиальная открытость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интеллектуальности и совершенствования собственного поведения.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механизмов прогноза изменений внешнего мира и собственного поведения системы в динамически изменяющемся внешнем мире.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многоуровневой иерархической структуры, построенной в соответствии с правилом: повышение интеллектуальности и снижение требований к точности моделей по мере повышения уровня иерархии в системе (и наоборот).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Сохраняемость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(возможно, с некоторой потерей качества или эффективности; иначе, с некоторой деградацией) при разрыве связей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потере управляющих воздействий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высших уровней иерархии управляющей структуры.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2.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Управляющие системы,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интеллектуальные “в </w:t>
      </w:r>
      <w:r w:rsidR="00333883"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малом»,</w:t>
      </w:r>
      <w:r w:rsidR="00333883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удовлетворяют перечисленным выше принципам, но используют при функционировании знания (например, в виде правил) как средство преодоления неопределенности входной информации, описания управляемого объекта или его поведения.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Иерархическая структура системы, интеллектуальной “в большом”, включает в себя следующие уровни управления (рис.1.2):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планирования (или стратегический уровень);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координации (тактический уровень);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уровень (уровень регулирования).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планированием здесь понимается формирование цели (стратегии) поведения системы, выбор возможных действий в различных ситуациях, в том числе и нештатных (критических), формирование требуемой программы управления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объектом.</w:t>
      </w:r>
      <w:r w:rsidR="008939ED"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Координация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подразумевает коррекцию программы управления, структуры и параметров системы при изменении окружающей среды, режимов работы объекта, изменении цели </w:t>
      </w:r>
      <w:r w:rsidR="00B07A73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функционирования.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Регулирование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формирование с помощью 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обычных регуляторов управляющих воздействий, подаваемых на объект, для реализации заданной программы изменения его состояния или выходных переменных.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в п.4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 в зарубежной литературе получило название принципа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IPDI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Increasing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Precision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Decreasing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Intelligence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переводе: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“Повышение Точности - Уменьшение Интеллектуальности”), предложенного в 1989 г.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Г.Саридисом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[6]. Согласно этому принципу, чем ниже уровень управления, т.е. чем конкретнее решаемая задача, тем меньше знаний требуется для ее решения. В свою очередь, именно на верхних уровнях управления выполняются такие функции, как обучение, распознавание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ситуации, адаптация по отношению к разного рода возмущениям.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left="99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алгоритмы интеллектуального</w:t>
      </w:r>
    </w:p>
    <w:p w:rsidR="00333883" w:rsidRPr="002679B2" w:rsidRDefault="00126961" w:rsidP="00C06538">
      <w:pPr>
        <w:shd w:val="clear" w:color="auto" w:fill="FFFFFF"/>
        <w:spacing w:after="0" w:line="408" w:lineRule="atLeast"/>
        <w:ind w:left="70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сложными объектами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распространение при проектировании ИСУ получили методы интеллектуального управления, относящиеся к следующим четырем классам: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 системы;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нечеткие регуляторы;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нейронные сети;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генетические алгоритмы.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Экспертные системы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expert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systems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имеют дело с задачами искусственного интеллекта на верхнем уровне, работая с символической информацией для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выводов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окружающей среде и формирования управленческих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сложившейся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прогнозируемой) ситуации.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накапливают эвристические знания и манипулируют ими, пытаясь имитировать поведение эксперта.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Подсистема идентификации и прогноза - обеспечивает нахождение математической модели объекта управления непосредственно в процессе функционирования, по результатам наблюдений за его входными/выходными переменными.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данных содержит непрерывно обновляемые данные (предыдущие, текущие,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прогнозные) о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характеристиках объекта и внешней среды, а также информацию о граничных (критических, предельно допустимых) значениях соответствующих параметров. База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специфике 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конкретного объекта, целях, стратегии и алгоритмах управления, о результатах идентификации и прогноза его характеристик. Подсистема логического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рациональной (наиболее подходящей в данной ситуации) структуры и параметров регулятора, а также, возможно, алгоритмов идентификации и прогноза. Подсистема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интерфейса предназначена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интерактивного режима по наполнению базы знаний с участием эксперта (режим обучения) и обеспечения общения с пользователем - оператором, включая объяснение механизма принятия тех или иных решений по управлению (режим эксплуатации).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аппарат теории экспертных систем базируется на использовании логических моделей (логики предикатов), семантических сетей, систем продукций, т.е. правил вида “ЕСЛИ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ТО”.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Нечеткие регуляторы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fuzzy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controllers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Идеи нечеткой логики, впервые высказанные в 1964 г. американцем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Л.Заде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известным специалистом в области теории систем, свое первое применение в задачах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реальными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техническими объектами нашли в Европе. В 1974 г. были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английских ученых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Э.Х.Мамдани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Ассилиан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посвященные проблеме регулирования парогенераторной установки с помощью специально сконструированных нечетких правил (продукций). По сути построение такого регулятора представляет собой попытку воспроизвести механизм рассуждений и способ действий опытного оператора, хорошо знающего специфику управления соответствующим объектом. В последующем, данный подход, в силу своей наглядности и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универсальности, получил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и значительное распространение во многих странах.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достоинство нечетких регуляторов - возможность эффективного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сложными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динамическими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неопределенности их характеристик путем моделирования механизма обработки знаний по аналогии с поведением высококвалифицированного оператора (эксперта).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Нейронные сети.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искусственных нейронных сетей (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artificial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neural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networks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начинается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 американских ученых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У.Мак-Каллока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В.Питтса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(1943 г. - модель формального нейрона) и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Ф.Розенблатта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(1958 г. - однослойная нейронная сеть, названная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персептроном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Сегодня под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нейронными сетями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НС) понимаются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параллельные вычислительные 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структуры, которые моделируют биологические процессы, обычно ассоциируемые с процессами человеческого мозга.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 обладают способностью приобретения знаний о предметной области, обучаясь на примерах и подстраивая свои веса для интерпретирования предъявляемых им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многоразмерных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обучения является такая настройка весов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синаптических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при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входному вектору сеть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сопоставляет требуемый (или близкий к нему) выход.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первых алгоритмов, удачно зарекомендовавшим себя при обучении многослойной НС, явился предложенный в 1986г.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Руммельхартом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(США) и его коллегами алгоритм обратного распространения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Back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Propagation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Algorithm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претерпевший впоследствии многочисленные изменения и усовершенствования [9, 10].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известно более 200 разновидностей НС. Кроме упомянутых выше многослойных персептронов, это: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left="99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(</w:t>
      </w:r>
      <w:r w:rsidR="00333883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рекуррентные)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left="99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на основе радиальных базисных функций;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left="99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Хопфилда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left="99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Кохонена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left="99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неокогнитроны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; и т.д.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различные варианты использования НС в системах управления сложными динамическими объектами [2]. На рис.1.7 приведены примеры применения НС для решения задач идентификации (а), управления (б),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к параметрическим возмущениям (в).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DBEBB0" wp14:editId="60ED714A">
            <wp:extent cx="4143375" cy="3838575"/>
            <wp:effectExtent l="0" t="0" r="9525" b="9525"/>
            <wp:docPr id="2" name="Рисунок 2" descr="http://texproc.ru/images/lect/ISU/int_upr/intutp_sc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xproc.ru/images/lect/ISU/int_upr/intutp_scr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рис.1.7, а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минимизация ошибки обучения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тому, что выход НС (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2679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НС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будет практически повторять выход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т.е. обученная НС представляет собой искомую модель “вход - выход”. На рис. 1.7,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нейронная сеть выполняет другие функции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обеспечить минимум рассогласования между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характеристиками эталонной модели (ЭМ) и САУ в целом, причем НС или непосредственно участвует в формировании сигнала управления (</w:t>
      </w: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выступая при этом в качестве нелинейного регулятора (рис.1.7, б), или же воздействует на параметры обычного, например, ПИД-регулятора, выполняя таким образом в системе функцию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адаптора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Генетические алгоритмы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genetic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algorithms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 - это большая группа методов адаптивного поиска и многопараметрической оптимизации, интенсивно развивающихся в последние годы как для их самостоятельного применения, так и в сочетании с другими методами интеллектуального управления [11].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название этих алгоритмов указывает на то, что их происхождение связано с использованием принципов естественного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генетики. Традиционные методы поиска обычно предполагают дифференцируемость исследуемой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ее параметров и, как правило, используют градиентные процедуры. Генетические алгоритмы (ГА) отличаются от 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обычных методов оптимизации рядом обстоятельств. По своей сути, ГА представляют собой метод параллельного поиска глобального экстремума, основанный на использовании в процессе поиска сразу нескольких, закодированных соответствующим образом точек (кандидатов на решения), которые образуют развивающуюся по определенным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случайным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популяцию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при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отбора, впервые четко сформулированные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Чарлзом Дарвином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(“Выживает наиболее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приспособленный!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”), позволяют отсеять наименее подходящие варианты и, наоборот, выделить, а затем и усилить положительные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вариантов, которые наиболее полно отвечают поставленной цели.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останавливаясь более подроб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содержании данных методов, попытаемся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очертить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задач, решаемых с их помощью, а также дать общее представление об истории зарождения ГА и особенностях их применения в интеллектуальных системах управления.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Оптимизационные задачи занимают одно из центральных мест при проектировании различных классов интеллектуальных систем. Причиной этого является естественное стремление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вариант построения системы или модели при соблюдении заданных требований к качеству ее функционирования (задача структурного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синтеза) или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оптимальные настройки параметров многокомпонентной системы при заданной ее структуре (задача параметрического синтеза). Приведем несколько примеров постановок соответствующих задач.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традиционных алгоритмов многопараметрического поиска для решения вышеперечисленных задач встречается с рядом трудностей, к которым относятся: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резкий рост вычислительных затрат и времени поиска при увеличении числа варьируемых параметров (“проклятие размерности”);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локальный характер алгоритмов поиска, связанный с необходимостью вычисления производных (градиента) целевой функции на каждом шаге поиска;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“зависания” алгоритма поиска в окрестности одного из локальных экстремумов;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помехозащищенность алгоритма;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эффективность поиска при наличии “овражных” ситуаций.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Привлекательность ГА состоит именно в том, что они в значительной мере лишены указанных недостатков.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терминологии ГА, заимствованной из генетики и теории эволюции живой природы, они имеют дело с популяцией “индивидуумов”, каждый из которых представляет собой претендент на решение рассматриваемой задачи. Каждому индивидууму приписывается определенный “индекс пригодности (приспособленности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)”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 насколько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удачным является данный конкретный вариант решения задачи. Например, в качестве такого индекса пригодности может выступать одна из упомянутых выше (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задачи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1-3) целевых функций. Далее, наиболее пригодным индивидуумам представляется возможность “размножения” путем “скрещивания” с другими индивидуумами в популяции. В результате этого появляются новые индивидуумы - “потомки”, которые наследуют часть признаков от каждого из своих “родителей”. Наименее пригодные члены популяции, в силу этого, “вымирают”. Полученная новая популяция возможных решений образует, таким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“поколение”, сохраняющее в значительно большей пропорции те качества (признаки), которые были присущи лучшим представителям предыдущего поколения.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описанную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 в поколение и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поощряя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скрещивание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обмен признаками прежде всего среди наиболее пригодных индивидуумов, появляется возможность последовательного улучшения популяции путем сохранения и преумножения в ней наиболее сильных сторон индивидуумов. Другими словами, в процессе поиска будут исследоваться наиболее многообещающие перспективные области пространства варьируемых параметров. При правильном функционировании ГА, популяция сходится к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оптимальному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считать, что генетические алгоритмы не гарантируют нахождение глобального оптимума, однако их сила состоит в том, что они позволяют “достаточно быстро” находить “достаточно хорошие” решения широкого круга задач, в том числе и тех, которые с трудом решаются другими методами.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применения генетических алгоритмов начинается с работ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Р.Холстиена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[12] и Де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Джонга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[13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],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на ряде примеров были впервые продемонстрированы возможности </w:t>
      </w:r>
      <w:proofErr w:type="gram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</w:t>
      </w:r>
      <w:r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многопараметрической оптимизации. В 1975 г. вышла монография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Дж.Холланда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“Адаптация в природных и искусственных системах” [14], в которой было дано теоретическое обоснование метода, сформулированы базовые принципы, лежащие в его основе. И, наконец, большую популярность получила изданная в 1989 г. и ставшая классической книга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Д.Гольдберга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“Генетические алгоритмы в задачах поиска, оптимизации и машинного обучения” [15], содержащая большое количество примеров и возможных постановок задач из различных областей приложений, решаемых с помощью ГА. Эти приложения включают в себя задачи проектирования сети трубопроводов и сверхбольших интегральных схем, структурной оптимизации, и планирования производственных процессов, обработки изображений в медицине, моделирования процессов принятия решений 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системах.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область применения ГА значительно расширилась. Показано, что данные методы оказываются эффективными при решении таких задач, как: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·идентификация сложных динамических объектов;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·выбор оптимальной конфигурации </w:t>
      </w:r>
      <w:proofErr w:type="spellStart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многоагентных</w:t>
      </w:r>
      <w:proofErr w:type="spellEnd"/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робототехнических систем;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·синтез оптимальных алгоритмов управления многозвенными роботами-манипуляторами;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·оптимальное управление стыковкой космических аппаратов;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·планирование маршрутов движения транспортных средств в условиях препятствий;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·синтез алгоритмов распознавания на основе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многослойных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нейронных сетей;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939ED"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другие.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применение ГА охватывает не только класс традиционных задач оптимизации, но и быстро распространяется на задачи управления сложными динамическими объектами в условиях неопределенности.</w:t>
      </w:r>
    </w:p>
    <w:p w:rsidR="00126961" w:rsidRPr="002679B2" w:rsidRDefault="00126961" w:rsidP="00C06538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FE" w:rsidRPr="00AF66FE" w:rsidRDefault="00AF66FE" w:rsidP="00C06538">
      <w:pPr>
        <w:pStyle w:val="a5"/>
        <w:ind w:left="10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1B" w:rsidRPr="0048641B" w:rsidRDefault="0048641B" w:rsidP="00C06538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1B" w:rsidRPr="005023BB" w:rsidRDefault="0048641B" w:rsidP="00C06538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641B" w:rsidRPr="005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C90"/>
    <w:multiLevelType w:val="hybridMultilevel"/>
    <w:tmpl w:val="08C6E398"/>
    <w:lvl w:ilvl="0" w:tplc="F8EC0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E339C"/>
    <w:multiLevelType w:val="hybridMultilevel"/>
    <w:tmpl w:val="4AE45E66"/>
    <w:lvl w:ilvl="0" w:tplc="AF38624A">
      <w:start w:val="1"/>
      <w:numFmt w:val="decimal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F62EC"/>
    <w:multiLevelType w:val="hybridMultilevel"/>
    <w:tmpl w:val="4DD2D4B2"/>
    <w:lvl w:ilvl="0" w:tplc="F8EC0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AF2C32"/>
    <w:multiLevelType w:val="hybridMultilevel"/>
    <w:tmpl w:val="6E6CB1FE"/>
    <w:lvl w:ilvl="0" w:tplc="25F22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61A14"/>
    <w:multiLevelType w:val="hybridMultilevel"/>
    <w:tmpl w:val="68C83E24"/>
    <w:lvl w:ilvl="0" w:tplc="F8EC0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57E60"/>
    <w:multiLevelType w:val="hybridMultilevel"/>
    <w:tmpl w:val="C9AC5846"/>
    <w:lvl w:ilvl="0" w:tplc="FF0C3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C64D9F"/>
    <w:multiLevelType w:val="hybridMultilevel"/>
    <w:tmpl w:val="E52EC694"/>
    <w:lvl w:ilvl="0" w:tplc="F8EC0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5F1AB0"/>
    <w:multiLevelType w:val="hybridMultilevel"/>
    <w:tmpl w:val="E9B8F9DA"/>
    <w:lvl w:ilvl="0" w:tplc="F8EC0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C655B1"/>
    <w:multiLevelType w:val="hybridMultilevel"/>
    <w:tmpl w:val="F59CE5F6"/>
    <w:lvl w:ilvl="0" w:tplc="E406713E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39007072"/>
    <w:multiLevelType w:val="hybridMultilevel"/>
    <w:tmpl w:val="FFD8BC98"/>
    <w:lvl w:ilvl="0" w:tplc="F8EC0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F867D5"/>
    <w:multiLevelType w:val="hybridMultilevel"/>
    <w:tmpl w:val="065099FA"/>
    <w:lvl w:ilvl="0" w:tplc="2D1E29E2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157E29"/>
    <w:multiLevelType w:val="hybridMultilevel"/>
    <w:tmpl w:val="95DED238"/>
    <w:lvl w:ilvl="0" w:tplc="F8EC0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281549"/>
    <w:multiLevelType w:val="hybridMultilevel"/>
    <w:tmpl w:val="FB049130"/>
    <w:lvl w:ilvl="0" w:tplc="8F32EA5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1C3294"/>
    <w:multiLevelType w:val="hybridMultilevel"/>
    <w:tmpl w:val="C7EC509E"/>
    <w:lvl w:ilvl="0" w:tplc="F8EC0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8D"/>
    <w:rsid w:val="0010599D"/>
    <w:rsid w:val="00126961"/>
    <w:rsid w:val="00176ACA"/>
    <w:rsid w:val="00244E66"/>
    <w:rsid w:val="002679B2"/>
    <w:rsid w:val="00333883"/>
    <w:rsid w:val="00436D8D"/>
    <w:rsid w:val="0048641B"/>
    <w:rsid w:val="004B0721"/>
    <w:rsid w:val="004F22E6"/>
    <w:rsid w:val="005023BB"/>
    <w:rsid w:val="00586D78"/>
    <w:rsid w:val="006F7723"/>
    <w:rsid w:val="008939ED"/>
    <w:rsid w:val="00AB05C0"/>
    <w:rsid w:val="00AF66FE"/>
    <w:rsid w:val="00B07A73"/>
    <w:rsid w:val="00C06538"/>
    <w:rsid w:val="00E211D9"/>
    <w:rsid w:val="00F22B10"/>
    <w:rsid w:val="00F34FAA"/>
    <w:rsid w:val="00F3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961"/>
    <w:rPr>
      <w:b/>
      <w:bCs/>
    </w:rPr>
  </w:style>
  <w:style w:type="character" w:customStyle="1" w:styleId="msonormal0">
    <w:name w:val="msonormal"/>
    <w:basedOn w:val="a0"/>
    <w:rsid w:val="00126961"/>
  </w:style>
  <w:style w:type="character" w:customStyle="1" w:styleId="apple-converted-space">
    <w:name w:val="apple-converted-space"/>
    <w:basedOn w:val="a0"/>
    <w:rsid w:val="00126961"/>
  </w:style>
  <w:style w:type="paragraph" w:styleId="a5">
    <w:name w:val="List Paragraph"/>
    <w:basedOn w:val="a"/>
    <w:uiPriority w:val="34"/>
    <w:qFormat/>
    <w:rsid w:val="00333883"/>
    <w:pPr>
      <w:ind w:left="720"/>
      <w:contextualSpacing/>
    </w:pPr>
  </w:style>
  <w:style w:type="table" w:styleId="a6">
    <w:name w:val="Table Grid"/>
    <w:basedOn w:val="a1"/>
    <w:uiPriority w:val="59"/>
    <w:rsid w:val="00C06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961"/>
    <w:rPr>
      <w:b/>
      <w:bCs/>
    </w:rPr>
  </w:style>
  <w:style w:type="character" w:customStyle="1" w:styleId="msonormal0">
    <w:name w:val="msonormal"/>
    <w:basedOn w:val="a0"/>
    <w:rsid w:val="00126961"/>
  </w:style>
  <w:style w:type="character" w:customStyle="1" w:styleId="apple-converted-space">
    <w:name w:val="apple-converted-space"/>
    <w:basedOn w:val="a0"/>
    <w:rsid w:val="00126961"/>
  </w:style>
  <w:style w:type="paragraph" w:styleId="a5">
    <w:name w:val="List Paragraph"/>
    <w:basedOn w:val="a"/>
    <w:uiPriority w:val="34"/>
    <w:qFormat/>
    <w:rsid w:val="00333883"/>
    <w:pPr>
      <w:ind w:left="720"/>
      <w:contextualSpacing/>
    </w:pPr>
  </w:style>
  <w:style w:type="table" w:styleId="a6">
    <w:name w:val="Table Grid"/>
    <w:basedOn w:val="a1"/>
    <w:uiPriority w:val="59"/>
    <w:rsid w:val="00C06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2</cp:revision>
  <dcterms:created xsi:type="dcterms:W3CDTF">2017-09-15T09:12:00Z</dcterms:created>
  <dcterms:modified xsi:type="dcterms:W3CDTF">2017-09-15T09:12:00Z</dcterms:modified>
</cp:coreProperties>
</file>