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B8" w:rsidRDefault="00627BB8" w:rsidP="00627BB8">
      <w:pPr>
        <w:pageBreakBefore/>
        <w:jc w:val="center"/>
        <w:rPr>
          <w:sz w:val="28"/>
        </w:rPr>
      </w:pPr>
      <w:r>
        <w:rPr>
          <w:sz w:val="28"/>
        </w:rPr>
        <w:t>Лабораторная работа № 7</w:t>
      </w:r>
    </w:p>
    <w:p w:rsidR="00627BB8" w:rsidRPr="00740C22" w:rsidRDefault="00627BB8" w:rsidP="00627BB8">
      <w:pPr>
        <w:jc w:val="center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аналого-цифровой преобразователь</w:t>
      </w:r>
      <w:r w:rsidRPr="00A3750E">
        <w:rPr>
          <w:caps/>
          <w:sz w:val="28"/>
          <w:szCs w:val="28"/>
        </w:rPr>
        <w:t xml:space="preserve"> микроконтроллеров семейства </w:t>
      </w:r>
      <w:r w:rsidRPr="00A3750E">
        <w:rPr>
          <w:caps/>
          <w:sz w:val="28"/>
          <w:szCs w:val="28"/>
          <w:lang w:val="en-US"/>
        </w:rPr>
        <w:t>AVR</w:t>
      </w:r>
      <w:r w:rsidRPr="00A3750E">
        <w:rPr>
          <w:caps/>
          <w:sz w:val="28"/>
          <w:szCs w:val="28"/>
        </w:rPr>
        <w:t xml:space="preserve"> фирмы </w:t>
      </w:r>
      <w:r w:rsidRPr="00A3750E">
        <w:rPr>
          <w:caps/>
          <w:sz w:val="28"/>
          <w:szCs w:val="28"/>
          <w:lang w:val="en-US"/>
        </w:rPr>
        <w:t>At</w:t>
      </w:r>
      <w:r>
        <w:rPr>
          <w:caps/>
          <w:sz w:val="28"/>
          <w:szCs w:val="28"/>
          <w:lang w:val="en-US"/>
        </w:rPr>
        <w:t>MEL</w:t>
      </w:r>
      <w:r w:rsidR="00740C22">
        <w:rPr>
          <w:sz w:val="28"/>
          <w:szCs w:val="28"/>
        </w:rPr>
        <w:t xml:space="preserve"> </w:t>
      </w:r>
      <w:bookmarkStart w:id="0" w:name="_GoBack"/>
      <w:bookmarkEnd w:id="0"/>
    </w:p>
    <w:p w:rsidR="00627BB8" w:rsidRDefault="00627BB8" w:rsidP="00627BB8">
      <w:pPr>
        <w:jc w:val="center"/>
        <w:rPr>
          <w:sz w:val="28"/>
        </w:rPr>
      </w:pPr>
    </w:p>
    <w:p w:rsidR="00627BB8" w:rsidRDefault="00627BB8" w:rsidP="00627BB8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627BB8" w:rsidRPr="00E06DBD" w:rsidRDefault="00627BB8" w:rsidP="00627BB8"/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C7FE8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микроконтроллеров семейства </w:t>
      </w:r>
      <w:r>
        <w:rPr>
          <w:sz w:val="28"/>
          <w:szCs w:val="28"/>
          <w:lang w:val="en-US"/>
        </w:rPr>
        <w:t>AVR</w:t>
      </w:r>
      <w:r w:rsidRPr="008C7F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ATtiny</w:t>
      </w:r>
      <w:r w:rsidRPr="00C41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ATmega</w:t>
      </w:r>
      <w:r>
        <w:rPr>
          <w:sz w:val="28"/>
          <w:szCs w:val="28"/>
        </w:rPr>
        <w:t xml:space="preserve">) может </w:t>
      </w:r>
      <w:r w:rsidRPr="008C7FE8">
        <w:rPr>
          <w:sz w:val="28"/>
          <w:szCs w:val="28"/>
        </w:rPr>
        <w:t>входит</w:t>
      </w:r>
      <w:r>
        <w:rPr>
          <w:sz w:val="28"/>
          <w:szCs w:val="28"/>
        </w:rPr>
        <w:t>ь 10 -</w:t>
      </w:r>
      <w:r w:rsidRPr="008C7FE8">
        <w:rPr>
          <w:sz w:val="28"/>
          <w:szCs w:val="28"/>
        </w:rPr>
        <w:t>разрядный АЦП</w:t>
      </w:r>
      <w:r>
        <w:rPr>
          <w:sz w:val="28"/>
          <w:szCs w:val="28"/>
        </w:rPr>
        <w:t xml:space="preserve"> </w:t>
      </w:r>
      <w:r w:rsidRPr="008C7FE8">
        <w:rPr>
          <w:sz w:val="28"/>
          <w:szCs w:val="28"/>
        </w:rPr>
        <w:t>последовательного приближения. Этот АЦП имеет следующие основные параметры:</w:t>
      </w:r>
      <w:r>
        <w:rPr>
          <w:sz w:val="28"/>
          <w:szCs w:val="28"/>
        </w:rPr>
        <w:t xml:space="preserve"> </w:t>
      </w:r>
    </w:p>
    <w:p w:rsidR="00627BB8" w:rsidRPr="008C7FE8" w:rsidRDefault="00627BB8" w:rsidP="00627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7FE8">
        <w:rPr>
          <w:sz w:val="28"/>
          <w:szCs w:val="28"/>
        </w:rPr>
        <w:t xml:space="preserve">абсолютная погрешность: </w:t>
      </w:r>
      <w:r w:rsidRPr="008C7FE8">
        <w:rPr>
          <w:rFonts w:eastAsia="SymbolMT"/>
          <w:sz w:val="28"/>
          <w:szCs w:val="28"/>
        </w:rPr>
        <w:t>±</w:t>
      </w:r>
      <w:r w:rsidRPr="008C7FE8">
        <w:rPr>
          <w:sz w:val="28"/>
          <w:szCs w:val="28"/>
        </w:rPr>
        <w:t>2 МЗР;</w:t>
      </w:r>
    </w:p>
    <w:p w:rsidR="00627BB8" w:rsidRPr="008C7FE8" w:rsidRDefault="00627BB8" w:rsidP="00627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7FE8">
        <w:rPr>
          <w:sz w:val="28"/>
          <w:szCs w:val="28"/>
        </w:rPr>
        <w:t xml:space="preserve">интегральная нелинейность: </w:t>
      </w:r>
      <w:r w:rsidRPr="008C7FE8">
        <w:rPr>
          <w:rFonts w:eastAsia="SymbolMT"/>
          <w:sz w:val="28"/>
          <w:szCs w:val="28"/>
        </w:rPr>
        <w:t>±</w:t>
      </w:r>
      <w:r>
        <w:rPr>
          <w:sz w:val="28"/>
          <w:szCs w:val="28"/>
        </w:rPr>
        <w:t>0,</w:t>
      </w:r>
      <w:r w:rsidRPr="008C7FE8">
        <w:rPr>
          <w:sz w:val="28"/>
          <w:szCs w:val="28"/>
        </w:rPr>
        <w:t>5 МЗР;</w:t>
      </w:r>
    </w:p>
    <w:p w:rsidR="00627BB8" w:rsidRPr="008C7FE8" w:rsidRDefault="00627BB8" w:rsidP="00627B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7FE8">
        <w:rPr>
          <w:sz w:val="28"/>
          <w:szCs w:val="28"/>
        </w:rPr>
        <w:t>быстродействие: до 15 тыс. выборок/с.</w:t>
      </w:r>
    </w:p>
    <w:p w:rsidR="00627BB8" w:rsidRDefault="00627BB8" w:rsidP="00627B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C7FE8">
        <w:rPr>
          <w:sz w:val="28"/>
          <w:szCs w:val="28"/>
        </w:rPr>
        <w:t>На входе собственно АЦП располагается 4</w:t>
      </w:r>
      <w:r>
        <w:rPr>
          <w:sz w:val="28"/>
          <w:szCs w:val="28"/>
        </w:rPr>
        <w:t xml:space="preserve">- или 8- </w:t>
      </w:r>
      <w:r w:rsidRPr="008C7FE8">
        <w:rPr>
          <w:sz w:val="28"/>
          <w:szCs w:val="28"/>
        </w:rPr>
        <w:t>канальный аналоговый</w:t>
      </w:r>
      <w:r>
        <w:rPr>
          <w:sz w:val="28"/>
          <w:szCs w:val="28"/>
        </w:rPr>
        <w:t xml:space="preserve"> </w:t>
      </w:r>
      <w:r w:rsidRPr="008C7FE8">
        <w:rPr>
          <w:sz w:val="28"/>
          <w:szCs w:val="28"/>
        </w:rPr>
        <w:t>мультиплексор, предоставляющий в распоряжение пользователя</w:t>
      </w:r>
      <w:r>
        <w:rPr>
          <w:sz w:val="28"/>
          <w:szCs w:val="28"/>
        </w:rPr>
        <w:t xml:space="preserve"> </w:t>
      </w:r>
      <w:r w:rsidRPr="008C7FE8">
        <w:rPr>
          <w:sz w:val="28"/>
          <w:szCs w:val="28"/>
        </w:rPr>
        <w:t xml:space="preserve">4 </w:t>
      </w:r>
      <w:r>
        <w:rPr>
          <w:sz w:val="28"/>
          <w:szCs w:val="28"/>
        </w:rPr>
        <w:t>или 8 каналов</w:t>
      </w:r>
      <w:r w:rsidRPr="008C7FE8">
        <w:rPr>
          <w:sz w:val="28"/>
          <w:szCs w:val="28"/>
        </w:rPr>
        <w:t xml:space="preserve"> с несимметричными входами</w:t>
      </w:r>
      <w:r>
        <w:rPr>
          <w:sz w:val="28"/>
          <w:szCs w:val="28"/>
        </w:rPr>
        <w:t xml:space="preserve">. </w:t>
      </w:r>
    </w:p>
    <w:p w:rsidR="00627BB8" w:rsidRPr="00504692" w:rsidRDefault="00627BB8" w:rsidP="00627B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04692">
        <w:rPr>
          <w:sz w:val="28"/>
          <w:szCs w:val="28"/>
        </w:rPr>
        <w:t>Отдельно следует сказать о микроконтроллерах ATmega8x. Микроконтроллеры этой группы, выпускаемые в корпусе</w:t>
      </w:r>
      <w:r>
        <w:rPr>
          <w:sz w:val="28"/>
          <w:szCs w:val="28"/>
        </w:rPr>
        <w:t xml:space="preserve"> DIP </w:t>
      </w:r>
      <w:r w:rsidRPr="00504692">
        <w:rPr>
          <w:sz w:val="28"/>
          <w:szCs w:val="28"/>
        </w:rPr>
        <w:t>32, имеют только 6 каналов преобразования. Кроме того, во всех моделях ATmega8x два канала (ADC4 и ADC5) являются</w:t>
      </w:r>
      <w:r>
        <w:rPr>
          <w:sz w:val="28"/>
          <w:szCs w:val="28"/>
        </w:rPr>
        <w:t xml:space="preserve"> 8- </w:t>
      </w:r>
      <w:r w:rsidRPr="00504692">
        <w:rPr>
          <w:sz w:val="28"/>
          <w:szCs w:val="28"/>
        </w:rPr>
        <w:t>разрядными.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В моделях ATmega16x, ATmega32x, ATmega64x, Atmega128x входы АЦП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могут также объединяться попарно для формирования</w:t>
      </w:r>
      <w:r>
        <w:rPr>
          <w:sz w:val="28"/>
          <w:szCs w:val="28"/>
        </w:rPr>
        <w:t>,</w:t>
      </w:r>
      <w:r w:rsidRPr="00504692">
        <w:rPr>
          <w:sz w:val="28"/>
          <w:szCs w:val="28"/>
        </w:rPr>
        <w:t xml:space="preserve"> в общей сложности</w:t>
      </w:r>
      <w:r>
        <w:rPr>
          <w:sz w:val="28"/>
          <w:szCs w:val="28"/>
        </w:rPr>
        <w:t>,</w:t>
      </w:r>
      <w:r w:rsidRPr="0050469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13 каналов с дифференциальным входом. Два канала при этом имеют возможность 20</w:t>
      </w:r>
      <w:r>
        <w:rPr>
          <w:sz w:val="28"/>
          <w:szCs w:val="28"/>
        </w:rPr>
        <w:t>-</w:t>
      </w:r>
      <w:r w:rsidRPr="00504692">
        <w:rPr>
          <w:sz w:val="28"/>
          <w:szCs w:val="28"/>
        </w:rPr>
        <w:t xml:space="preserve"> и 200</w:t>
      </w:r>
      <w:r>
        <w:rPr>
          <w:sz w:val="28"/>
          <w:szCs w:val="28"/>
        </w:rPr>
        <w:t xml:space="preserve">- </w:t>
      </w:r>
      <w:r w:rsidRPr="00504692">
        <w:rPr>
          <w:sz w:val="28"/>
          <w:szCs w:val="28"/>
        </w:rPr>
        <w:t>кратного предварительного усиления входного сигнала.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При коэффициентах усиления 1x и 20x действительная разрешающая способность составляет 8 разрядов, а при коэффициенте усилени</w:t>
      </w:r>
      <w:r>
        <w:rPr>
          <w:sz w:val="28"/>
          <w:szCs w:val="28"/>
        </w:rPr>
        <w:t xml:space="preserve">я 200x </w:t>
      </w:r>
      <w:r w:rsidRPr="00504692">
        <w:rPr>
          <w:sz w:val="28"/>
          <w:szCs w:val="28"/>
        </w:rPr>
        <w:t>7 разрядов.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В качестве источника опорного напряжения для АЦП может использоваться как напряжение питания микроконтроллера, так и внутренний либо</w:t>
      </w:r>
      <w:r>
        <w:rPr>
          <w:sz w:val="28"/>
          <w:szCs w:val="28"/>
        </w:rPr>
        <w:t xml:space="preserve"> </w:t>
      </w:r>
      <w:r w:rsidRPr="00504692">
        <w:rPr>
          <w:sz w:val="28"/>
          <w:szCs w:val="28"/>
        </w:rPr>
        <w:t>внешний источник опорного напряжения.</w:t>
      </w:r>
    </w:p>
    <w:p w:rsidR="00627BB8" w:rsidRDefault="00627BB8" w:rsidP="00627B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C7FE8">
        <w:rPr>
          <w:sz w:val="28"/>
          <w:szCs w:val="28"/>
        </w:rPr>
        <w:t>Для несимметричных входов диапазон входных напряжений составляет 0…</w:t>
      </w:r>
      <w:r w:rsidRPr="008C7FE8">
        <w:rPr>
          <w:i/>
          <w:iCs/>
          <w:sz w:val="28"/>
          <w:szCs w:val="28"/>
        </w:rPr>
        <w:t>V</w:t>
      </w:r>
      <w:r w:rsidRPr="00A4544F">
        <w:rPr>
          <w:sz w:val="28"/>
          <w:szCs w:val="28"/>
          <w:vertAlign w:val="subscript"/>
        </w:rPr>
        <w:t>CC</w:t>
      </w:r>
      <w:r w:rsidRPr="008C7FE8">
        <w:rPr>
          <w:sz w:val="28"/>
          <w:szCs w:val="28"/>
        </w:rPr>
        <w:t>, а для дифференциального входа – 0…2</w:t>
      </w:r>
      <w:r>
        <w:rPr>
          <w:sz w:val="28"/>
          <w:szCs w:val="28"/>
        </w:rPr>
        <w:t>,</w:t>
      </w:r>
      <w:r w:rsidRPr="008C7FE8">
        <w:rPr>
          <w:sz w:val="28"/>
          <w:szCs w:val="28"/>
        </w:rPr>
        <w:t xml:space="preserve">6 В. </w:t>
      </w:r>
    </w:p>
    <w:p w:rsidR="00627BB8" w:rsidRDefault="00627BB8" w:rsidP="00627B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C7FE8">
        <w:rPr>
          <w:sz w:val="28"/>
          <w:szCs w:val="28"/>
        </w:rPr>
        <w:t>В процессе работы АЦП может функционировать в двух режимах:</w:t>
      </w:r>
    </w:p>
    <w:p w:rsidR="00627BB8" w:rsidRDefault="00627BB8" w:rsidP="00627BB8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C7FE8">
        <w:rPr>
          <w:sz w:val="28"/>
          <w:szCs w:val="28"/>
        </w:rPr>
        <w:t>р</w:t>
      </w:r>
      <w:r>
        <w:rPr>
          <w:sz w:val="28"/>
          <w:szCs w:val="28"/>
        </w:rPr>
        <w:t>ежим одиночного преобразования</w:t>
      </w:r>
      <w:r w:rsidRPr="008C7FE8">
        <w:rPr>
          <w:sz w:val="28"/>
          <w:szCs w:val="28"/>
        </w:rPr>
        <w:t xml:space="preserve"> запуск каждого преобразования инициируется пользователем;</w:t>
      </w:r>
    </w:p>
    <w:p w:rsidR="00627BB8" w:rsidRPr="008C7FE8" w:rsidRDefault="00627BB8" w:rsidP="00627BB8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/>
          <w:snapToGrid w:val="0"/>
          <w:sz w:val="28"/>
          <w:szCs w:val="28"/>
        </w:rPr>
      </w:pPr>
      <w:r w:rsidRPr="008C7FE8">
        <w:rPr>
          <w:sz w:val="28"/>
          <w:szCs w:val="28"/>
        </w:rPr>
        <w:t>реж</w:t>
      </w:r>
      <w:r>
        <w:rPr>
          <w:sz w:val="28"/>
          <w:szCs w:val="28"/>
        </w:rPr>
        <w:t>им непрерывного преобразования</w:t>
      </w:r>
      <w:r w:rsidRPr="008C7FE8">
        <w:rPr>
          <w:sz w:val="28"/>
          <w:szCs w:val="28"/>
        </w:rPr>
        <w:t xml:space="preserve"> запуск преобразований</w:t>
      </w:r>
      <w:r>
        <w:rPr>
          <w:sz w:val="28"/>
          <w:szCs w:val="28"/>
        </w:rPr>
        <w:t xml:space="preserve"> </w:t>
      </w:r>
      <w:r w:rsidRPr="008C7FE8">
        <w:rPr>
          <w:sz w:val="28"/>
          <w:szCs w:val="28"/>
        </w:rPr>
        <w:t>выполняется непрерывно через определенные интервалы времени.</w:t>
      </w:r>
    </w:p>
    <w:p w:rsidR="00627BB8" w:rsidRDefault="00627BB8" w:rsidP="00627BB8">
      <w:pPr>
        <w:ind w:firstLine="340"/>
        <w:jc w:val="center"/>
        <w:rPr>
          <w:b/>
          <w:snapToGrid w:val="0"/>
          <w:sz w:val="28"/>
        </w:rPr>
      </w:pPr>
    </w:p>
    <w:p w:rsidR="00627BB8" w:rsidRDefault="00627BB8" w:rsidP="00627BB8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Цель работы</w:t>
      </w:r>
    </w:p>
    <w:p w:rsidR="00627BB8" w:rsidRPr="00A52126" w:rsidRDefault="00627BB8" w:rsidP="00627BB8">
      <w:pPr>
        <w:ind w:firstLine="340"/>
        <w:jc w:val="center"/>
        <w:rPr>
          <w:b/>
          <w:snapToGrid w:val="0"/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 и работать с аналого-цифровым преобразователем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Задачи</w:t>
      </w:r>
    </w:p>
    <w:p w:rsidR="00627BB8" w:rsidRPr="00A52126" w:rsidRDefault="00627BB8" w:rsidP="00627BB8">
      <w:pPr>
        <w:ind w:firstLine="340"/>
        <w:jc w:val="center"/>
        <w:rPr>
          <w:b/>
          <w:snapToGrid w:val="0"/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управлять, контролировать состояние, а также получать результаты преобразования (оцифровки), реализовывать прерывания от аналого-цифрового преобразователя. Научиться составлять простейшие ассемблер-программы, предназначенные для работы с аналого-цифровым преобразователем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. </w:t>
      </w: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ind w:firstLine="340"/>
        <w:jc w:val="center"/>
        <w:rPr>
          <w:i/>
        </w:rPr>
      </w:pPr>
      <w:r>
        <w:rPr>
          <w:b/>
          <w:sz w:val="28"/>
          <w:szCs w:val="28"/>
        </w:rPr>
        <w:t>МЕТОДИЧЕСКИЕ УКАЗАНИЯ К</w:t>
      </w:r>
      <w:r w:rsidRPr="00982F60">
        <w:rPr>
          <w:b/>
          <w:sz w:val="28"/>
          <w:szCs w:val="28"/>
        </w:rPr>
        <w:t xml:space="preserve"> ВЫПОЛНЕНИЮ</w:t>
      </w:r>
    </w:p>
    <w:p w:rsidR="00627BB8" w:rsidRPr="00FA5B4E" w:rsidRDefault="00627BB8" w:rsidP="00627BB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ЛАБОРАТОРНОЙ РАБОТЫ</w:t>
      </w: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предустановленными приложениями «МК AVR.pdf» и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».</w:t>
      </w:r>
    </w:p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Структурная схема аналого-цифрового преобразователя (АЦП)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 w:rsidRPr="006C6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примере серии </w:t>
      </w:r>
      <w:r>
        <w:rPr>
          <w:sz w:val="28"/>
          <w:szCs w:val="28"/>
          <w:lang w:val="en-US"/>
        </w:rPr>
        <w:t>ATtiny</w:t>
      </w:r>
      <w:r>
        <w:rPr>
          <w:sz w:val="28"/>
          <w:szCs w:val="28"/>
        </w:rPr>
        <w:t xml:space="preserve"> представлена на рис. 2.1.</w:t>
      </w:r>
    </w:p>
    <w:p w:rsidR="00627BB8" w:rsidRPr="00E06DBD" w:rsidRDefault="00627BB8" w:rsidP="00627BB8">
      <w:pPr>
        <w:autoSpaceDE w:val="0"/>
        <w:autoSpaceDN w:val="0"/>
        <w:adjustRightInd w:val="0"/>
        <w:ind w:firstLine="340"/>
        <w:jc w:val="both"/>
        <w:rPr>
          <w:sz w:val="16"/>
          <w:szCs w:val="28"/>
        </w:rPr>
      </w:pPr>
    </w:p>
    <w:p w:rsidR="00627BB8" w:rsidRPr="006C65E4" w:rsidRDefault="00627BB8" w:rsidP="00627BB8">
      <w:pPr>
        <w:autoSpaceDE w:val="0"/>
        <w:autoSpaceDN w:val="0"/>
        <w:adjustRightInd w:val="0"/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4" t="22588" r="27135" b="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B8" w:rsidRPr="00E06DBD" w:rsidRDefault="00627BB8" w:rsidP="00627BB8">
      <w:pPr>
        <w:autoSpaceDE w:val="0"/>
        <w:autoSpaceDN w:val="0"/>
        <w:adjustRightInd w:val="0"/>
        <w:ind w:firstLine="340"/>
        <w:jc w:val="both"/>
        <w:rPr>
          <w:sz w:val="14"/>
          <w:szCs w:val="28"/>
        </w:rPr>
      </w:pPr>
    </w:p>
    <w:p w:rsidR="00627BB8" w:rsidRDefault="00627BB8" w:rsidP="00627B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2.1. Структурная схема АЦП</w:t>
      </w:r>
    </w:p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E5D32">
        <w:rPr>
          <w:sz w:val="28"/>
          <w:szCs w:val="28"/>
        </w:rPr>
        <w:lastRenderedPageBreak/>
        <w:t>Управление модулем АЦП и контроль его состояния осуществляется</w:t>
      </w:r>
      <w:r>
        <w:rPr>
          <w:sz w:val="28"/>
          <w:szCs w:val="28"/>
        </w:rPr>
        <w:t xml:space="preserve"> </w:t>
      </w:r>
      <w:r w:rsidRPr="00CE5D32">
        <w:rPr>
          <w:sz w:val="28"/>
          <w:szCs w:val="28"/>
        </w:rPr>
        <w:t xml:space="preserve">с помощью регистра </w:t>
      </w:r>
      <w:r w:rsidRPr="00CE5D32">
        <w:rPr>
          <w:sz w:val="28"/>
          <w:szCs w:val="28"/>
          <w:lang w:val="en-US"/>
        </w:rPr>
        <w:t>ADCSR</w:t>
      </w:r>
      <w:r w:rsidRPr="00CE5D32">
        <w:rPr>
          <w:sz w:val="28"/>
          <w:szCs w:val="28"/>
        </w:rPr>
        <w:t xml:space="preserve"> (</w:t>
      </w:r>
      <w:r w:rsidRPr="00CE5D32">
        <w:rPr>
          <w:sz w:val="28"/>
          <w:szCs w:val="28"/>
          <w:lang w:val="en-US"/>
        </w:rPr>
        <w:t>Analog</w:t>
      </w:r>
      <w:r w:rsidRPr="00CE5D32">
        <w:rPr>
          <w:sz w:val="28"/>
          <w:szCs w:val="28"/>
        </w:rPr>
        <w:t xml:space="preserve"> </w:t>
      </w:r>
      <w:r w:rsidRPr="00CE5D32">
        <w:rPr>
          <w:sz w:val="28"/>
          <w:szCs w:val="28"/>
          <w:lang w:val="en-US"/>
        </w:rPr>
        <w:t>Digital</w:t>
      </w:r>
      <w:r w:rsidRPr="00CE5D32">
        <w:rPr>
          <w:sz w:val="28"/>
          <w:szCs w:val="28"/>
        </w:rPr>
        <w:t xml:space="preserve"> </w:t>
      </w:r>
      <w:r w:rsidRPr="00CE5D32">
        <w:rPr>
          <w:sz w:val="28"/>
          <w:szCs w:val="28"/>
          <w:lang w:val="en-US"/>
        </w:rPr>
        <w:t>Converter</w:t>
      </w:r>
      <w:r w:rsidRPr="00CE5D32">
        <w:rPr>
          <w:sz w:val="28"/>
          <w:szCs w:val="28"/>
        </w:rPr>
        <w:t xml:space="preserve"> </w:t>
      </w:r>
      <w:r w:rsidRPr="00CE5D32">
        <w:rPr>
          <w:sz w:val="28"/>
          <w:szCs w:val="28"/>
          <w:lang w:val="en-US"/>
        </w:rPr>
        <w:t>Status</w:t>
      </w:r>
      <w:r w:rsidRPr="00CE5D32">
        <w:rPr>
          <w:sz w:val="28"/>
          <w:szCs w:val="28"/>
        </w:rPr>
        <w:t xml:space="preserve"> </w:t>
      </w:r>
      <w:r w:rsidRPr="00CE5D32">
        <w:rPr>
          <w:sz w:val="28"/>
          <w:szCs w:val="28"/>
          <w:lang w:val="en-US"/>
        </w:rPr>
        <w:t>Register</w:t>
      </w:r>
      <w:r>
        <w:rPr>
          <w:sz w:val="28"/>
          <w:szCs w:val="28"/>
        </w:rPr>
        <w:t xml:space="preserve"> </w:t>
      </w:r>
      <w:r w:rsidRPr="00CE5D32">
        <w:rPr>
          <w:sz w:val="28"/>
          <w:szCs w:val="28"/>
        </w:rPr>
        <w:t>регистр состояния АЦП), расположенного по адресу $06. Формат этого</w:t>
      </w:r>
      <w:r>
        <w:rPr>
          <w:sz w:val="28"/>
          <w:szCs w:val="28"/>
        </w:rPr>
        <w:t xml:space="preserve"> </w:t>
      </w:r>
      <w:r w:rsidRPr="00CE5D32">
        <w:rPr>
          <w:sz w:val="28"/>
          <w:szCs w:val="28"/>
        </w:rPr>
        <w:t xml:space="preserve">регистра приведен на </w:t>
      </w:r>
      <w:r>
        <w:rPr>
          <w:bCs/>
          <w:sz w:val="28"/>
          <w:szCs w:val="28"/>
        </w:rPr>
        <w:t>рис.</w:t>
      </w:r>
      <w:r w:rsidRPr="0001399B">
        <w:rPr>
          <w:bCs/>
          <w:sz w:val="28"/>
          <w:szCs w:val="28"/>
        </w:rPr>
        <w:t xml:space="preserve"> 2.2</w:t>
      </w:r>
      <w:r w:rsidRPr="00CE5D32">
        <w:rPr>
          <w:sz w:val="28"/>
          <w:szCs w:val="28"/>
        </w:rPr>
        <w:t>, а краткое описание функций разрядов</w:t>
      </w:r>
      <w:r>
        <w:rPr>
          <w:sz w:val="28"/>
          <w:szCs w:val="28"/>
        </w:rPr>
        <w:t xml:space="preserve"> </w:t>
      </w:r>
      <w:r w:rsidRPr="00CE5D32">
        <w:rPr>
          <w:sz w:val="28"/>
          <w:szCs w:val="28"/>
        </w:rPr>
        <w:t xml:space="preserve">регистра приведено в </w:t>
      </w:r>
      <w:r>
        <w:rPr>
          <w:bCs/>
          <w:sz w:val="28"/>
          <w:szCs w:val="28"/>
        </w:rPr>
        <w:t>табл. 2.</w:t>
      </w:r>
      <w:r w:rsidRPr="0001399B">
        <w:rPr>
          <w:bCs/>
          <w:sz w:val="28"/>
          <w:szCs w:val="28"/>
        </w:rPr>
        <w:t>1</w:t>
      </w:r>
      <w:r w:rsidRPr="00CE5D32">
        <w:rPr>
          <w:sz w:val="28"/>
          <w:szCs w:val="28"/>
        </w:rPr>
        <w:t xml:space="preserve">. </w:t>
      </w:r>
    </w:p>
    <w:p w:rsidR="00627BB8" w:rsidRPr="00CE5D32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627BB8" w:rsidRDefault="00627BB8" w:rsidP="00627BB8">
      <w:pPr>
        <w:autoSpaceDE w:val="0"/>
        <w:autoSpaceDN w:val="0"/>
        <w:adjustRightInd w:val="0"/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59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1" t="38193" r="21695" b="4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B8" w:rsidRDefault="00627BB8" w:rsidP="00627B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2.2. Формат регистра управления АЦП </w:t>
      </w:r>
      <w:r>
        <w:rPr>
          <w:sz w:val="28"/>
          <w:szCs w:val="28"/>
          <w:lang w:val="en-US"/>
        </w:rPr>
        <w:t>ADCSR</w:t>
      </w:r>
    </w:p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627BB8" w:rsidRDefault="00627BB8" w:rsidP="00627BB8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 xml:space="preserve">Таблица 2.1. Разряды регистра управления </w:t>
      </w:r>
      <w:r>
        <w:rPr>
          <w:sz w:val="28"/>
          <w:szCs w:val="28"/>
        </w:rPr>
        <w:t xml:space="preserve">АЦП </w:t>
      </w:r>
      <w:r>
        <w:rPr>
          <w:sz w:val="28"/>
          <w:szCs w:val="28"/>
          <w:lang w:val="en-US"/>
        </w:rPr>
        <w:t>ADCSR</w:t>
      </w:r>
      <w:r>
        <w:rPr>
          <w:sz w:val="28"/>
        </w:rPr>
        <w:t xml:space="preserve"> </w:t>
      </w:r>
    </w:p>
    <w:p w:rsidR="00627BB8" w:rsidRDefault="00627BB8" w:rsidP="00627BB8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067"/>
        <w:gridCol w:w="7088"/>
      </w:tblGrid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Разряд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Название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Описание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ADEN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Разрешение АЦП («1»  включено, «0» </w:t>
            </w:r>
            <w:r w:rsidRPr="00670E75">
              <w:rPr>
                <w:sz w:val="28"/>
                <w:szCs w:val="28"/>
              </w:rPr>
              <w:t xml:space="preserve"> выключено)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ADSC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Запуск преобразования («1» — начать преобразование)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5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ADFR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режима работы АЦП («0»</w:t>
            </w:r>
            <w:r w:rsidRPr="00670E75">
              <w:rPr>
                <w:sz w:val="28"/>
                <w:szCs w:val="28"/>
              </w:rPr>
              <w:t xml:space="preserve"> одиночное преобразование)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ADIF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Флаг прерывания от компаратора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ADIE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Разрешение прерывания от компаратора</w:t>
            </w:r>
          </w:p>
        </w:tc>
      </w:tr>
      <w:tr w:rsidR="00627BB8" w:rsidRPr="00670E75" w:rsidTr="002859A0">
        <w:tc>
          <w:tcPr>
            <w:tcW w:w="101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2..0</w:t>
            </w:r>
          </w:p>
        </w:tc>
        <w:tc>
          <w:tcPr>
            <w:tcW w:w="2067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ADPS2:ADPS0</w:t>
            </w:r>
          </w:p>
        </w:tc>
        <w:tc>
          <w:tcPr>
            <w:tcW w:w="7088" w:type="dxa"/>
          </w:tcPr>
          <w:p w:rsidR="00627BB8" w:rsidRPr="00670E75" w:rsidRDefault="00627BB8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E75">
              <w:rPr>
                <w:sz w:val="28"/>
                <w:szCs w:val="28"/>
              </w:rPr>
              <w:t>Выбор частоты преобразования</w:t>
            </w:r>
          </w:p>
        </w:tc>
      </w:tr>
    </w:tbl>
    <w:p w:rsidR="00627BB8" w:rsidRDefault="00627BB8" w:rsidP="00627BB8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627BB8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3486D">
        <w:rPr>
          <w:sz w:val="28"/>
          <w:szCs w:val="28"/>
        </w:rPr>
        <w:t>Для разрешения работы АЦП необходимо записать лог</w:t>
      </w:r>
      <w:r>
        <w:rPr>
          <w:sz w:val="28"/>
          <w:szCs w:val="28"/>
        </w:rPr>
        <w:t>ическую</w:t>
      </w:r>
      <w:r w:rsidRPr="000348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486D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03486D">
        <w:rPr>
          <w:sz w:val="28"/>
          <w:szCs w:val="28"/>
        </w:rPr>
        <w:t xml:space="preserve"> в разряд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ADEN регистра ADCSR, а для выключения соответственно лог</w:t>
      </w:r>
      <w:r>
        <w:rPr>
          <w:sz w:val="28"/>
          <w:szCs w:val="28"/>
        </w:rPr>
        <w:t>ический</w:t>
      </w:r>
      <w:r w:rsidRPr="000348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486D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0348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Причем, если АЦП будет выключено во время цикла преобразования,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то преобразование завершено не будет (в регистре данных АЦП останется результат предыдущего преобразования).</w:t>
      </w:r>
      <w:r>
        <w:rPr>
          <w:sz w:val="28"/>
          <w:szCs w:val="28"/>
        </w:rPr>
        <w:t xml:space="preserve"> </w:t>
      </w:r>
    </w:p>
    <w:p w:rsidR="00627BB8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3486D">
        <w:rPr>
          <w:sz w:val="28"/>
          <w:szCs w:val="28"/>
        </w:rPr>
        <w:t>Режим работы АЦП определяется состоянием разряда ADFR. Если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он установлен в «1», АЦП работает в режиме непрерывного преобразования. В этом режиме запуск каждого следующего преобразования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осуществляется автоматически после окончания текущего. Если же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разряд ADFR сброшен в «0», АЦП работает в режиме одиночного преобразования и запуск каждого преобразования осуществляется по команде пользователя.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Запуск каждого преобразования в режиме одиночного преобразования, а также запуск первого преобразования в режиме непрерывного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преобразования осуществляется установкой в «1» разряда ADSC регистра ADCSR. Собственно цикл преобразования начинается по первому нарастающему фронту тактового сигнала после установки этого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разряда. Как правило, длительность цикла составляет 13 тактов; выборка и запоминание входного сигнала осуществляется в течение первых</w:t>
      </w:r>
      <w:r>
        <w:rPr>
          <w:sz w:val="28"/>
          <w:szCs w:val="28"/>
        </w:rPr>
        <w:t xml:space="preserve"> 1,</w:t>
      </w:r>
      <w:r w:rsidRPr="0003486D">
        <w:rPr>
          <w:sz w:val="28"/>
          <w:szCs w:val="28"/>
        </w:rPr>
        <w:t>5 тактов. Через 13 тактов преобразование завершается, разряд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 xml:space="preserve">ADSC аппаратно сбрасывается в «0» (в режиме одиночного преобразования) и результат преобразования </w:t>
      </w:r>
      <w:r w:rsidRPr="0003486D">
        <w:rPr>
          <w:sz w:val="28"/>
          <w:szCs w:val="28"/>
        </w:rPr>
        <w:lastRenderedPageBreak/>
        <w:t>сохраняется в регистре данных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АЦП. Одновременно устанавливается флаг прерывания ADIF регистра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 xml:space="preserve">ADCSR и генерируется запрос на прерывание. </w:t>
      </w:r>
    </w:p>
    <w:p w:rsidR="00627BB8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3486D">
        <w:rPr>
          <w:sz w:val="28"/>
          <w:szCs w:val="28"/>
        </w:rPr>
        <w:t>Как и флаги остальных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прерываний, флаг ADIF сбрасывается аппаратно при запуске подпрограммы обработки прерывания от АЦП или программно, записью в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него лог</w:t>
      </w:r>
      <w:r>
        <w:rPr>
          <w:sz w:val="28"/>
          <w:szCs w:val="28"/>
        </w:rPr>
        <w:t>ической «</w:t>
      </w:r>
      <w:r w:rsidRPr="0003486D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0348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7BB8" w:rsidRPr="00952D91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3486D">
        <w:rPr>
          <w:sz w:val="28"/>
          <w:szCs w:val="28"/>
        </w:rPr>
        <w:t>азрешение прерывания осуществляется установкой в «1»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разряда ADIE регистра ADCSR при установленном флаге I регистра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SREG.</w:t>
      </w:r>
      <w:r>
        <w:rPr>
          <w:sz w:val="28"/>
          <w:szCs w:val="28"/>
        </w:rPr>
        <w:t xml:space="preserve"> </w:t>
      </w:r>
      <w:r w:rsidRPr="0003486D">
        <w:rPr>
          <w:sz w:val="28"/>
          <w:szCs w:val="28"/>
        </w:rPr>
        <w:t>Если АЦП работает в режиме непрерывного преобразования, новый цикл начнется сразу же после записи результата. В режиме одиночного преобразования новое преобразование может быть запущено</w:t>
      </w:r>
      <w:r>
        <w:rPr>
          <w:sz w:val="28"/>
          <w:szCs w:val="28"/>
        </w:rPr>
        <w:t xml:space="preserve"> </w:t>
      </w:r>
      <w:r w:rsidRPr="00952D91">
        <w:rPr>
          <w:sz w:val="28"/>
          <w:szCs w:val="28"/>
        </w:rPr>
        <w:t>сразу же после сброса разряда ADSC (до сохранения результата текущего преобразования). Однако реально цикл преобразования начнется</w:t>
      </w:r>
      <w:r>
        <w:rPr>
          <w:sz w:val="28"/>
          <w:szCs w:val="28"/>
        </w:rPr>
        <w:t xml:space="preserve"> </w:t>
      </w:r>
      <w:r w:rsidRPr="00952D91">
        <w:rPr>
          <w:sz w:val="28"/>
          <w:szCs w:val="28"/>
        </w:rPr>
        <w:t>не ранее чем через один такт после окончания текущего преобразования.</w:t>
      </w:r>
    </w:p>
    <w:p w:rsidR="00627BB8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D6C4F">
        <w:rPr>
          <w:sz w:val="28"/>
          <w:szCs w:val="28"/>
        </w:rPr>
        <w:t>При использовании АЦП следует учитывать, что в ряде случаев для</w:t>
      </w:r>
      <w:r>
        <w:rPr>
          <w:sz w:val="28"/>
          <w:szCs w:val="28"/>
        </w:rPr>
        <w:t xml:space="preserve"> </w:t>
      </w:r>
      <w:r w:rsidRPr="00AD6C4F">
        <w:rPr>
          <w:sz w:val="28"/>
          <w:szCs w:val="28"/>
        </w:rPr>
        <w:t>выполнения преобразования може</w:t>
      </w:r>
      <w:r>
        <w:rPr>
          <w:sz w:val="28"/>
          <w:szCs w:val="28"/>
        </w:rPr>
        <w:t>т потребоваться 25 тактов, то есть</w:t>
      </w:r>
      <w:r w:rsidRPr="00AD6C4F">
        <w:rPr>
          <w:sz w:val="28"/>
          <w:szCs w:val="28"/>
        </w:rPr>
        <w:t xml:space="preserve"> на 12</w:t>
      </w:r>
      <w:r>
        <w:rPr>
          <w:sz w:val="28"/>
          <w:szCs w:val="28"/>
        </w:rPr>
        <w:t xml:space="preserve"> </w:t>
      </w:r>
      <w:r w:rsidRPr="00AD6C4F">
        <w:rPr>
          <w:sz w:val="28"/>
          <w:szCs w:val="28"/>
        </w:rPr>
        <w:t>тактов больше, чем обычно. Это происходит при запуске первого преобразования после наступления следующих событий:</w:t>
      </w:r>
    </w:p>
    <w:p w:rsidR="00627BB8" w:rsidRPr="00AD6C4F" w:rsidRDefault="00627BB8" w:rsidP="00627BB8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D6C4F">
        <w:rPr>
          <w:sz w:val="28"/>
          <w:szCs w:val="28"/>
        </w:rPr>
        <w:t>включение АЦП;</w:t>
      </w:r>
    </w:p>
    <w:p w:rsidR="00627BB8" w:rsidRPr="00AD6C4F" w:rsidRDefault="00627BB8" w:rsidP="00627BB8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D6C4F">
        <w:rPr>
          <w:sz w:val="28"/>
          <w:szCs w:val="28"/>
        </w:rPr>
        <w:t>смена источника опорного напряжения;</w:t>
      </w:r>
    </w:p>
    <w:p w:rsidR="00627BB8" w:rsidRPr="00AD6C4F" w:rsidRDefault="00627BB8" w:rsidP="00627BB8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D6C4F">
        <w:rPr>
          <w:sz w:val="28"/>
          <w:szCs w:val="28"/>
        </w:rPr>
        <w:t>включение канала с дифференциальным входом.</w:t>
      </w:r>
    </w:p>
    <w:p w:rsidR="00627BB8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D6C4F">
        <w:rPr>
          <w:sz w:val="28"/>
          <w:szCs w:val="28"/>
        </w:rPr>
        <w:t>В течение этих 12 тактов выполняется «холостое» преобразование,</w:t>
      </w:r>
      <w:r>
        <w:rPr>
          <w:sz w:val="28"/>
          <w:szCs w:val="28"/>
        </w:rPr>
        <w:t xml:space="preserve"> </w:t>
      </w:r>
      <w:r w:rsidRPr="00AD6C4F">
        <w:rPr>
          <w:sz w:val="28"/>
          <w:szCs w:val="28"/>
        </w:rPr>
        <w:t>инициализирующее АЦП</w:t>
      </w:r>
      <w:r>
        <w:rPr>
          <w:sz w:val="28"/>
          <w:szCs w:val="28"/>
        </w:rPr>
        <w:t>.</w:t>
      </w:r>
    </w:p>
    <w:p w:rsidR="00627BB8" w:rsidRPr="00D42BE7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2BE7">
        <w:rPr>
          <w:sz w:val="28"/>
          <w:szCs w:val="28"/>
        </w:rPr>
        <w:t>Тактовым сигналом модуля АЦП является сигнал с предделителя,</w:t>
      </w:r>
      <w:r>
        <w:rPr>
          <w:sz w:val="28"/>
          <w:szCs w:val="28"/>
        </w:rPr>
        <w:t xml:space="preserve"> </w:t>
      </w:r>
      <w:r w:rsidRPr="00D42BE7">
        <w:rPr>
          <w:sz w:val="28"/>
          <w:szCs w:val="28"/>
        </w:rPr>
        <w:t>на вход которого, в свою очередь, поступает тактовый сигнал микроконтроллера. Коэффициент деления предделителя и соответственно</w:t>
      </w:r>
      <w:r>
        <w:rPr>
          <w:sz w:val="28"/>
          <w:szCs w:val="28"/>
        </w:rPr>
        <w:t xml:space="preserve"> </w:t>
      </w:r>
      <w:r w:rsidRPr="00D42BE7">
        <w:rPr>
          <w:sz w:val="28"/>
          <w:szCs w:val="28"/>
        </w:rPr>
        <w:t>длительность преобразования определяется состоянием разрядов</w:t>
      </w:r>
      <w:r>
        <w:rPr>
          <w:sz w:val="28"/>
          <w:szCs w:val="28"/>
        </w:rPr>
        <w:t xml:space="preserve"> </w:t>
      </w:r>
      <w:r w:rsidRPr="00D42BE7">
        <w:rPr>
          <w:sz w:val="28"/>
          <w:szCs w:val="28"/>
        </w:rPr>
        <w:t>ADPS2…ADPS0 регистра ADCSR</w:t>
      </w:r>
      <w:r>
        <w:rPr>
          <w:sz w:val="28"/>
          <w:szCs w:val="28"/>
        </w:rPr>
        <w:t>.</w:t>
      </w:r>
    </w:p>
    <w:p w:rsidR="00627BB8" w:rsidRPr="008C1D05" w:rsidRDefault="00627BB8" w:rsidP="00627B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C1D05">
        <w:rPr>
          <w:sz w:val="28"/>
          <w:szCs w:val="28"/>
        </w:rPr>
        <w:t>Наибольшая точность преобразования достигается, если тактовая</w:t>
      </w:r>
      <w:r>
        <w:rPr>
          <w:sz w:val="28"/>
          <w:szCs w:val="28"/>
        </w:rPr>
        <w:t xml:space="preserve"> </w:t>
      </w:r>
      <w:r w:rsidRPr="008C1D05">
        <w:rPr>
          <w:sz w:val="28"/>
          <w:szCs w:val="28"/>
        </w:rPr>
        <w:t>частота модуля АЦП находится в диапазоне</w:t>
      </w:r>
      <w:r>
        <w:rPr>
          <w:sz w:val="28"/>
          <w:szCs w:val="28"/>
        </w:rPr>
        <w:t xml:space="preserve"> 50</w:t>
      </w:r>
      <w:r>
        <w:rPr>
          <w:sz w:val="28"/>
          <w:szCs w:val="28"/>
        </w:rPr>
        <w:sym w:font="Symbol" w:char="F02D"/>
      </w:r>
      <w:r w:rsidRPr="008C1D05">
        <w:rPr>
          <w:sz w:val="28"/>
          <w:szCs w:val="28"/>
        </w:rPr>
        <w:t>200 кГц. Соответственно, коэффициент деления предделителя рекомендуется выбирать таким, чтобы тактовая частота модуля АЦП находилась в указанном диапазоне.</w:t>
      </w:r>
    </w:p>
    <w:p w:rsidR="00627BB8" w:rsidRDefault="00627BB8" w:rsidP="00627B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627BB8" w:rsidRPr="00F23855" w:rsidRDefault="00627BB8" w:rsidP="00627BB8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627BB8" w:rsidRDefault="00627BB8" w:rsidP="00627BB8">
      <w:pPr>
        <w:rPr>
          <w:sz w:val="28"/>
          <w:szCs w:val="28"/>
        </w:rPr>
      </w:pPr>
    </w:p>
    <w:p w:rsidR="00627BB8" w:rsidRDefault="00627BB8" w:rsidP="00627B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работы аналого-цифрового преобразователя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файле </w:t>
      </w:r>
      <w:r>
        <w:rPr>
          <w:sz w:val="28"/>
          <w:szCs w:val="28"/>
        </w:rPr>
        <w:t xml:space="preserve">«МК AVR.pdf», для его запуска необходимо на Рабочем столе компьютера найти соответствующую иконку и запустить приложение, дважды щелкнув левой кнопкой мыши. Перед запуском файла «МК AVR.pdf» в компьютере пользователя должно быть предустановлен приложение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 версии 8 и выше. </w:t>
      </w:r>
    </w:p>
    <w:p w:rsidR="00627BB8" w:rsidRPr="00F95C0A" w:rsidRDefault="00627BB8" w:rsidP="00627B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запуска файла «МК AVR.pdf» появится окно просмотра приложения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, причем в левой колонке находится контекстное меню, где указаны основные разделы описания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. В основном поле приложения находится описание, а также </w:t>
      </w:r>
      <w:r>
        <w:rPr>
          <w:sz w:val="28"/>
          <w:szCs w:val="28"/>
        </w:rPr>
        <w:lastRenderedPageBreak/>
        <w:t xml:space="preserve">полоса прокрутки для перехода к интересующим главам и разделам описания. </w:t>
      </w:r>
    </w:p>
    <w:p w:rsidR="00627BB8" w:rsidRDefault="00627BB8" w:rsidP="00627BB8"/>
    <w:p w:rsidR="00627BB8" w:rsidRPr="00176EEC" w:rsidRDefault="00627BB8" w:rsidP="00627BB8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t>ЗАДАНИЕ</w:t>
      </w:r>
    </w:p>
    <w:p w:rsidR="00627BB8" w:rsidRPr="0047055E" w:rsidRDefault="00627BB8" w:rsidP="00627BB8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Варианты заданий для составления ассемблер-программ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</w:t>
      </w:r>
      <w:r w:rsidRPr="0047055E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предназначенных для работы с АЦП,</w:t>
      </w:r>
      <w:r>
        <w:rPr>
          <w:sz w:val="28"/>
          <w:szCs w:val="28"/>
        </w:rPr>
        <w:t xml:space="preserve"> представлены в табл. 2.2.</w:t>
      </w:r>
    </w:p>
    <w:p w:rsidR="00627BB8" w:rsidRDefault="00627BB8" w:rsidP="00627BB8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center"/>
        <w:rPr>
          <w:sz w:val="28"/>
        </w:rPr>
      </w:pPr>
    </w:p>
    <w:p w:rsidR="00627BB8" w:rsidRDefault="00627BB8" w:rsidP="00627BB8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2.2. Варианты заданий</w:t>
      </w:r>
    </w:p>
    <w:p w:rsidR="00627BB8" w:rsidRPr="002963C9" w:rsidRDefault="00627BB8" w:rsidP="00627BB8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7076"/>
        <w:gridCol w:w="2268"/>
      </w:tblGrid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№/№</w:t>
            </w:r>
          </w:p>
        </w:tc>
        <w:tc>
          <w:tcPr>
            <w:tcW w:w="7076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Описание программы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7076" w:type="dxa"/>
          </w:tcPr>
          <w:p w:rsidR="00627BB8" w:rsidRPr="000B2C38" w:rsidRDefault="00627BB8" w:rsidP="002859A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одиночное преобразование, частота тактового сигнала АЦП – двукратная по отношению к тактовому сигналу МК, результат преобразования выравнивается по правой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), запустить АЦП, сгенерировать прерывание от АЦП,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, 13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7076" w:type="dxa"/>
          </w:tcPr>
          <w:p w:rsidR="00627BB8" w:rsidRPr="000B2C38" w:rsidRDefault="00627BB8" w:rsidP="002859A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одиночное преобразование, частота тактового сигнала АЦП – четырехкратная по отношению к тактовому сигналу МК, результат преобразования выравнивается по левой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), запустить АЦП, сгенерировать прерывание от АЦП,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  <w:r>
              <w:rPr>
                <w:snapToGrid w:val="0"/>
                <w:sz w:val="28"/>
              </w:rPr>
              <w:t>, 14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</w:p>
        </w:tc>
        <w:tc>
          <w:tcPr>
            <w:tcW w:w="7076" w:type="dxa"/>
          </w:tcPr>
          <w:p w:rsidR="00627BB8" w:rsidRPr="000B2C38" w:rsidRDefault="00627BB8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непрерывное преобразование, частота тактового сигнала АЦП – двукратная по отношению к тактовому сигналу МК, результат преобразования выравнивается по правой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), запустить АЦП, сгенерировать прерывание от АЦП,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  <w:r>
              <w:rPr>
                <w:snapToGrid w:val="0"/>
                <w:sz w:val="28"/>
              </w:rPr>
              <w:t>, 15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7076" w:type="dxa"/>
          </w:tcPr>
          <w:p w:rsidR="00627BB8" w:rsidRPr="000B2C38" w:rsidRDefault="00627BB8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непрерывное преобразование, частота тактового сигнала АЦП – четырехкратная по отношению к тактовому сигналу МК, результат преобразования выравнивается по левой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), запустить АЦП, сгенерировать </w:t>
            </w:r>
            <w:r>
              <w:rPr>
                <w:sz w:val="28"/>
                <w:szCs w:val="28"/>
              </w:rPr>
              <w:lastRenderedPageBreak/>
              <w:t xml:space="preserve">прерывание от АЦП,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4</w:t>
            </w:r>
            <w:r>
              <w:rPr>
                <w:snapToGrid w:val="0"/>
                <w:sz w:val="28"/>
              </w:rPr>
              <w:t>, 16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5</w:t>
            </w:r>
          </w:p>
        </w:tc>
        <w:tc>
          <w:tcPr>
            <w:tcW w:w="7076" w:type="dxa"/>
          </w:tcPr>
          <w:p w:rsidR="00627BB8" w:rsidRPr="00623B95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режим работы – одиночное преобразование, частота тактового сигнала АЦП – двукратная по отношению к тактовому сигналу МК, результат преобразования выравнивается по правой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, источник ИОН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внешний), запустить АЦП, записать результат преобразования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  <w:r>
              <w:rPr>
                <w:snapToGrid w:val="0"/>
                <w:sz w:val="28"/>
              </w:rPr>
              <w:t>, 17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7076" w:type="dxa"/>
          </w:tcPr>
          <w:p w:rsidR="00627BB8" w:rsidRPr="00623B95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режим работы – одиночное преобразование, частота тактового сигнала АЦП – четырехкратная по отношению к тактовому сигналу МК, результат преобразования выравнивается по правой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, источник ИОН – внутренний, отключенный от вывода РВ0), запустить АЦП, записать результат преобразования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  <w:r>
              <w:rPr>
                <w:snapToGrid w:val="0"/>
                <w:sz w:val="28"/>
              </w:rPr>
              <w:t>, 18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7076" w:type="dxa"/>
          </w:tcPr>
          <w:p w:rsidR="00627BB8" w:rsidRPr="000A6BCD" w:rsidRDefault="00627BB8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режим работы – одиночное преобразование, частота тактового сигнала АЦП – четырехкратная по отношению к тактовому сигналу МК, результат преобразования выравнивается по правой границе </w:t>
            </w:r>
            <w:r>
              <w:rPr>
                <w:sz w:val="28"/>
                <w:szCs w:val="28"/>
                <w:lang w:val="en-US"/>
              </w:rPr>
              <w:t>ADCH</w:t>
            </w:r>
            <w:r w:rsidRPr="00AB54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ADCL</w:t>
            </w:r>
            <w:r>
              <w:rPr>
                <w:sz w:val="28"/>
                <w:szCs w:val="28"/>
              </w:rPr>
              <w:t xml:space="preserve">, источник ИОН – внутренний, подключенный к выводу РВ0), запустить АЦП, записать результат преобразования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61C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  <w:r>
              <w:rPr>
                <w:snapToGrid w:val="0"/>
                <w:sz w:val="28"/>
              </w:rPr>
              <w:t xml:space="preserve">, 19 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7076" w:type="dxa"/>
          </w:tcPr>
          <w:p w:rsidR="00627BB8" w:rsidRPr="000B2C38" w:rsidRDefault="00627BB8" w:rsidP="002859A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одиночное преобразование, частота тактового сигнала АЦП – двукратная по отношению к тактовому сигналу МК), запустить АЦП в режиме </w:t>
            </w:r>
            <w:r>
              <w:rPr>
                <w:sz w:val="28"/>
                <w:szCs w:val="28"/>
                <w:lang w:val="en-US"/>
              </w:rPr>
              <w:t>ADC</w:t>
            </w:r>
            <w:r w:rsidRPr="00FB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Noise</w:t>
            </w:r>
            <w:r w:rsidRPr="00FB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Reduction</w:t>
            </w:r>
            <w:r>
              <w:rPr>
                <w:sz w:val="28"/>
                <w:szCs w:val="28"/>
              </w:rPr>
              <w:t xml:space="preserve">, сгенерировать прерывание от АЦП,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  <w:r>
              <w:rPr>
                <w:snapToGrid w:val="0"/>
                <w:sz w:val="28"/>
              </w:rPr>
              <w:t>, 20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  <w:tc>
          <w:tcPr>
            <w:tcW w:w="7076" w:type="dxa"/>
          </w:tcPr>
          <w:p w:rsidR="00627BB8" w:rsidRPr="00B478EF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работы – одиночное преобразование, частота тактового сигнала АЦП – четырехкратная по отношению к тактовому сигналу МК), запустить АЦП в режиме </w:t>
            </w:r>
            <w:r>
              <w:rPr>
                <w:sz w:val="28"/>
                <w:szCs w:val="28"/>
                <w:lang w:val="en-US"/>
              </w:rPr>
              <w:t>ADC</w:t>
            </w:r>
            <w:r w:rsidRPr="00FB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Noise</w:t>
            </w:r>
            <w:r w:rsidRPr="00FB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Reduction</w:t>
            </w:r>
            <w:r>
              <w:rPr>
                <w:sz w:val="28"/>
                <w:szCs w:val="28"/>
              </w:rPr>
              <w:t xml:space="preserve">, сгенерировать прерывание от АЦП, записать результат преобразования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  <w:lang w:val="en-US"/>
              </w:rPr>
              <w:t>R</w:t>
            </w:r>
            <w:r w:rsidRPr="00D61CF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  <w:r>
              <w:rPr>
                <w:snapToGrid w:val="0"/>
                <w:sz w:val="28"/>
              </w:rPr>
              <w:t>, 21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  <w:tc>
          <w:tcPr>
            <w:tcW w:w="7076" w:type="dxa"/>
          </w:tcPr>
          <w:p w:rsidR="00627BB8" w:rsidRPr="00AB7123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разрешить прерывание от АЦП, режим </w:t>
            </w:r>
            <w:r>
              <w:rPr>
                <w:sz w:val="28"/>
                <w:szCs w:val="28"/>
              </w:rPr>
              <w:lastRenderedPageBreak/>
              <w:t xml:space="preserve">работы – одиночное преобразование, частота тактового сигнала АЦП – двукратная по отношению к тактовому сигналу МК), запустить АЦП, сгенерировать прерывание от АЦП, если результат ≠ 0 – записать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  <w:r>
              <w:rPr>
                <w:sz w:val="28"/>
                <w:szCs w:val="28"/>
              </w:rPr>
              <w:t>, если результат = 0 запретить прерывания от АЦП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10</w:t>
            </w:r>
            <w:r>
              <w:rPr>
                <w:snapToGrid w:val="0"/>
                <w:sz w:val="28"/>
              </w:rPr>
              <w:t>, 22</w:t>
            </w:r>
          </w:p>
        </w:tc>
      </w:tr>
      <w:tr w:rsidR="00627BB8" w:rsidRPr="001667F3" w:rsidTr="002859A0">
        <w:trPr>
          <w:trHeight w:val="264"/>
        </w:trPr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11</w:t>
            </w:r>
          </w:p>
        </w:tc>
        <w:tc>
          <w:tcPr>
            <w:tcW w:w="7076" w:type="dxa"/>
          </w:tcPr>
          <w:p w:rsidR="00627BB8" w:rsidRPr="00B478EF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режим работы – непрерывное преобразование, частота тактового сигнала АЦП – двукратная по отношению к тактовому сигналу МК), запустить АЦП, если результат ≠ 0 – записать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3A5D2F">
              <w:rPr>
                <w:sz w:val="28"/>
                <w:szCs w:val="28"/>
              </w:rPr>
              <w:t>10=</w:t>
            </w:r>
            <w:r>
              <w:rPr>
                <w:sz w:val="28"/>
                <w:szCs w:val="28"/>
                <w:lang w:val="en-US"/>
              </w:rPr>
              <w:t>FF</w:t>
            </w:r>
            <w:r w:rsidRPr="003A5D2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, если результат = 0 записать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3A5D2F">
              <w:rPr>
                <w:sz w:val="28"/>
                <w:szCs w:val="28"/>
              </w:rPr>
              <w:t>10=</w:t>
            </w:r>
            <w:r>
              <w:rPr>
                <w:sz w:val="28"/>
                <w:szCs w:val="28"/>
              </w:rPr>
              <w:t>00</w:t>
            </w:r>
            <w:r w:rsidRPr="003A5D2F">
              <w:rPr>
                <w:sz w:val="28"/>
                <w:szCs w:val="28"/>
              </w:rPr>
              <w:t>$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, 23</w:t>
            </w:r>
          </w:p>
        </w:tc>
      </w:tr>
      <w:tr w:rsidR="00627BB8" w:rsidRPr="001667F3" w:rsidTr="002859A0">
        <w:tc>
          <w:tcPr>
            <w:tcW w:w="829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</w:p>
        </w:tc>
        <w:tc>
          <w:tcPr>
            <w:tcW w:w="7076" w:type="dxa"/>
          </w:tcPr>
          <w:p w:rsidR="00627BB8" w:rsidRPr="00B478EF" w:rsidRDefault="00627BB8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АЦП (включить АЦП, режим работы – одиночное преобразование, частота тактового сигнала АЦП – четырехкратная по отношению к тактовому сигналу МК), запустить АЦП, если результат ≠ 0 – результат преобразования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  <w:r>
              <w:rPr>
                <w:sz w:val="28"/>
                <w:szCs w:val="28"/>
              </w:rPr>
              <w:t xml:space="preserve">, если результат = 0 записать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16</w:t>
            </w:r>
            <w:r w:rsidRPr="003A5D2F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00</w:t>
            </w:r>
            <w:r w:rsidRPr="003A5D2F">
              <w:rPr>
                <w:sz w:val="28"/>
                <w:szCs w:val="28"/>
              </w:rPr>
              <w:t>$</w:t>
            </w:r>
          </w:p>
        </w:tc>
        <w:tc>
          <w:tcPr>
            <w:tcW w:w="2268" w:type="dxa"/>
          </w:tcPr>
          <w:p w:rsidR="00627BB8" w:rsidRPr="001667F3" w:rsidRDefault="00627BB8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, 24, 25</w:t>
            </w:r>
          </w:p>
        </w:tc>
      </w:tr>
    </w:tbl>
    <w:p w:rsidR="00627BB8" w:rsidRDefault="00627BB8" w:rsidP="00627BB8">
      <w:pPr>
        <w:ind w:firstLine="340"/>
        <w:jc w:val="both"/>
        <w:rPr>
          <w:snapToGrid w:val="0"/>
          <w:sz w:val="28"/>
        </w:rPr>
      </w:pPr>
    </w:p>
    <w:p w:rsidR="00627BB8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вариант задания определяется номером студента в журнале группы.</w:t>
      </w:r>
    </w:p>
    <w:p w:rsidR="00627BB8" w:rsidRPr="000E3683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пределив вариант задания, сту</w:t>
      </w:r>
      <w:r>
        <w:rPr>
          <w:snapToGrid w:val="0"/>
          <w:sz w:val="28"/>
        </w:rPr>
        <w:t>дент должен согласно табл. 2.2.</w:t>
      </w:r>
      <w:r w:rsidRPr="000E3683">
        <w:rPr>
          <w:snapToGrid w:val="0"/>
          <w:sz w:val="28"/>
        </w:rPr>
        <w:t xml:space="preserve"> найти </w:t>
      </w:r>
      <w:r>
        <w:rPr>
          <w:snapToGrid w:val="0"/>
          <w:sz w:val="28"/>
        </w:rPr>
        <w:t>описание АЦП</w:t>
      </w:r>
      <w:r w:rsidRPr="000E3683">
        <w:rPr>
          <w:snapToGrid w:val="0"/>
          <w:sz w:val="28"/>
        </w:rPr>
        <w:t xml:space="preserve"> микроконтроллера семейства </w:t>
      </w:r>
      <w:r w:rsidRPr="000E3683">
        <w:rPr>
          <w:snapToGrid w:val="0"/>
          <w:sz w:val="28"/>
          <w:lang w:val="en-US"/>
        </w:rPr>
        <w:t>AVR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представить его в отчете.</w:t>
      </w:r>
    </w:p>
    <w:p w:rsidR="00627BB8" w:rsidRPr="000E3683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ткрыв файл «МК AVR.pdf»</w:t>
      </w:r>
      <w:r>
        <w:rPr>
          <w:snapToGrid w:val="0"/>
          <w:sz w:val="28"/>
        </w:rPr>
        <w:t>,</w:t>
      </w:r>
      <w:r w:rsidRPr="000E3683">
        <w:rPr>
          <w:snapToGrid w:val="0"/>
          <w:sz w:val="28"/>
        </w:rPr>
        <w:t xml:space="preserve"> студент должен </w:t>
      </w:r>
      <w:r>
        <w:rPr>
          <w:snapToGrid w:val="0"/>
          <w:sz w:val="28"/>
        </w:rPr>
        <w:t>изучить</w:t>
      </w:r>
      <w:r w:rsidRPr="000E3683">
        <w:rPr>
          <w:snapToGrid w:val="0"/>
          <w:sz w:val="28"/>
        </w:rPr>
        <w:t xml:space="preserve"> таблицы и графики, соответствующие описанию </w:t>
      </w:r>
      <w:r>
        <w:rPr>
          <w:snapToGrid w:val="0"/>
          <w:sz w:val="28"/>
        </w:rPr>
        <w:t>АЦП.</w:t>
      </w:r>
    </w:p>
    <w:p w:rsidR="00627BB8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структуру и особенности АЦП, предварительно составить ассемблер-программу, согласно варианту задания.</w:t>
      </w:r>
    </w:p>
    <w:p w:rsidR="00627BB8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создать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новый файл, название файла составить исходя из фамилии студента на латинице, номера лабораторной работы и его варианта задания (например, 7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12).</w:t>
      </w:r>
    </w:p>
    <w:p w:rsidR="00627BB8" w:rsidRPr="00E04C51" w:rsidRDefault="00627BB8" w:rsidP="00627BB8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записать составленную ассемблер-программу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, отладить (с помощью встроенного отладчика </w:t>
      </w:r>
      <w:r>
        <w:rPr>
          <w:snapToGrid w:val="0"/>
          <w:sz w:val="28"/>
          <w:lang w:val="en-US"/>
        </w:rPr>
        <w:t>Debug</w:t>
      </w:r>
      <w:r>
        <w:rPr>
          <w:snapToGrid w:val="0"/>
          <w:sz w:val="28"/>
        </w:rPr>
        <w:t xml:space="preserve">) и построить по результатам отладки одноименный проект (в том числе с расширением </w:t>
      </w:r>
      <w:r w:rsidRPr="00303988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asm</w:t>
      </w:r>
      <w:r>
        <w:rPr>
          <w:snapToGrid w:val="0"/>
          <w:sz w:val="28"/>
        </w:rPr>
        <w:t>).</w:t>
      </w:r>
    </w:p>
    <w:p w:rsidR="00627BB8" w:rsidRDefault="00627BB8" w:rsidP="00627BB8">
      <w:pPr>
        <w:keepNext/>
        <w:spacing w:after="240"/>
        <w:ind w:firstLine="340"/>
        <w:jc w:val="center"/>
        <w:rPr>
          <w:b/>
          <w:sz w:val="28"/>
        </w:rPr>
      </w:pPr>
    </w:p>
    <w:p w:rsidR="00627BB8" w:rsidRPr="00484A00" w:rsidRDefault="00627BB8" w:rsidP="00627BB8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t>СОДЕРЖАНИЕ ОТЧЕТА</w:t>
      </w:r>
    </w:p>
    <w:p w:rsidR="00627BB8" w:rsidRDefault="00627BB8" w:rsidP="00627BB8">
      <w:pPr>
        <w:ind w:firstLine="340"/>
        <w:jc w:val="both"/>
        <w:rPr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АЦП микроконтроллеров семейства </w:t>
      </w:r>
      <w:r>
        <w:rPr>
          <w:sz w:val="28"/>
          <w:lang w:val="en-US"/>
        </w:rPr>
        <w:t>AVR</w:t>
      </w:r>
      <w:r>
        <w:rPr>
          <w:sz w:val="28"/>
        </w:rPr>
        <w:t xml:space="preserve"> в виде таблиц и графиков согласно пунктам задания. В таблицах отражаются:</w:t>
      </w:r>
    </w:p>
    <w:p w:rsidR="00627BB8" w:rsidRDefault="00627BB8" w:rsidP="00627BB8">
      <w:pPr>
        <w:numPr>
          <w:ilvl w:val="0"/>
          <w:numId w:val="1"/>
        </w:numPr>
        <w:ind w:left="0" w:firstLine="284"/>
        <w:jc w:val="both"/>
        <w:rPr>
          <w:iCs/>
          <w:sz w:val="28"/>
        </w:rPr>
      </w:pPr>
      <w:r>
        <w:rPr>
          <w:sz w:val="28"/>
        </w:rPr>
        <w:t xml:space="preserve">формат регистра управления АЦП </w:t>
      </w:r>
      <w:r>
        <w:rPr>
          <w:sz w:val="28"/>
          <w:lang w:val="en-US"/>
        </w:rPr>
        <w:t>ADCSR</w:t>
      </w:r>
      <w:r>
        <w:rPr>
          <w:iCs/>
          <w:sz w:val="28"/>
        </w:rPr>
        <w:t>;</w:t>
      </w:r>
    </w:p>
    <w:p w:rsidR="00627BB8" w:rsidRPr="004F1142" w:rsidRDefault="00627BB8" w:rsidP="00627BB8">
      <w:pPr>
        <w:numPr>
          <w:ilvl w:val="0"/>
          <w:numId w:val="1"/>
        </w:numPr>
        <w:ind w:left="0" w:firstLine="284"/>
        <w:jc w:val="both"/>
        <w:rPr>
          <w:iCs/>
          <w:sz w:val="28"/>
        </w:rPr>
      </w:pPr>
      <w:r w:rsidRPr="004F1142">
        <w:rPr>
          <w:iCs/>
          <w:sz w:val="28"/>
        </w:rPr>
        <w:t xml:space="preserve">формат регистра мультиплексора </w:t>
      </w:r>
      <w:r w:rsidRPr="004F1142">
        <w:rPr>
          <w:iCs/>
          <w:sz w:val="28"/>
          <w:lang w:val="en-US"/>
        </w:rPr>
        <w:t>ADMUX</w:t>
      </w:r>
      <w:r>
        <w:rPr>
          <w:iCs/>
          <w:sz w:val="28"/>
        </w:rPr>
        <w:t>;</w:t>
      </w:r>
    </w:p>
    <w:p w:rsidR="00627BB8" w:rsidRDefault="00627BB8" w:rsidP="00627BB8">
      <w:pPr>
        <w:numPr>
          <w:ilvl w:val="0"/>
          <w:numId w:val="1"/>
        </w:numPr>
        <w:ind w:left="0" w:firstLine="284"/>
        <w:jc w:val="both"/>
        <w:rPr>
          <w:iCs/>
          <w:sz w:val="28"/>
        </w:rPr>
      </w:pPr>
      <w:r>
        <w:rPr>
          <w:iCs/>
          <w:sz w:val="28"/>
        </w:rPr>
        <w:t xml:space="preserve">описание разрядов регистра управления </w:t>
      </w:r>
      <w:r>
        <w:rPr>
          <w:sz w:val="28"/>
        </w:rPr>
        <w:t xml:space="preserve">АЦП </w:t>
      </w:r>
      <w:r>
        <w:rPr>
          <w:sz w:val="28"/>
          <w:lang w:val="en-US"/>
        </w:rPr>
        <w:t>ADCSR</w:t>
      </w:r>
      <w:r>
        <w:rPr>
          <w:iCs/>
          <w:sz w:val="28"/>
        </w:rPr>
        <w:t>;</w:t>
      </w:r>
    </w:p>
    <w:p w:rsidR="00627BB8" w:rsidRDefault="00627BB8" w:rsidP="00627BB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iCs/>
          <w:sz w:val="28"/>
        </w:rPr>
      </w:pPr>
      <w:r>
        <w:rPr>
          <w:iCs/>
          <w:sz w:val="28"/>
        </w:rPr>
        <w:lastRenderedPageBreak/>
        <w:t xml:space="preserve">  описание режимов одиночного и непрерывного преобразования АЦП;</w:t>
      </w:r>
    </w:p>
    <w:p w:rsidR="00627BB8" w:rsidRPr="00756BC6" w:rsidRDefault="00627BB8" w:rsidP="00627BB8">
      <w:pPr>
        <w:numPr>
          <w:ilvl w:val="0"/>
          <w:numId w:val="1"/>
        </w:numPr>
        <w:ind w:left="0" w:firstLine="284"/>
        <w:jc w:val="both"/>
        <w:rPr>
          <w:iCs/>
          <w:sz w:val="28"/>
        </w:rPr>
      </w:pPr>
      <w:r>
        <w:rPr>
          <w:iCs/>
          <w:sz w:val="28"/>
        </w:rPr>
        <w:t>параметры АЦП.</w:t>
      </w:r>
    </w:p>
    <w:p w:rsidR="00627BB8" w:rsidRDefault="00627BB8" w:rsidP="00627BB8">
      <w:pPr>
        <w:ind w:firstLine="340"/>
        <w:jc w:val="both"/>
        <w:rPr>
          <w:sz w:val="28"/>
        </w:rPr>
      </w:pPr>
      <w:r>
        <w:rPr>
          <w:sz w:val="28"/>
        </w:rPr>
        <w:t xml:space="preserve">На графиках отражается структурная схема АЦП и временные диаграммы работы АЦП. </w:t>
      </w:r>
    </w:p>
    <w:p w:rsidR="00627BB8" w:rsidRPr="00BF0DB2" w:rsidRDefault="00627BB8" w:rsidP="00627BB8">
      <w:pPr>
        <w:ind w:firstLine="340"/>
        <w:jc w:val="both"/>
        <w:rPr>
          <w:sz w:val="28"/>
        </w:rPr>
      </w:pPr>
      <w:r>
        <w:rPr>
          <w:sz w:val="28"/>
        </w:rPr>
        <w:t xml:space="preserve">Также в отчете должна быть представлена отлаженная в среде </w:t>
      </w:r>
      <w:r>
        <w:rPr>
          <w:sz w:val="28"/>
          <w:lang w:val="en-US"/>
        </w:rPr>
        <w:t>AVRStudio</w:t>
      </w:r>
      <w:r w:rsidRPr="00D2119A">
        <w:rPr>
          <w:sz w:val="28"/>
        </w:rPr>
        <w:t xml:space="preserve"> 4</w:t>
      </w:r>
      <w:r w:rsidRPr="00BF0DB2">
        <w:rPr>
          <w:sz w:val="28"/>
        </w:rPr>
        <w:t xml:space="preserve"> </w:t>
      </w:r>
      <w:r>
        <w:rPr>
          <w:sz w:val="28"/>
        </w:rPr>
        <w:t>ассемблер-программа, выполняющая операции согласно варианту задания, указанному в табл. 2.2.</w:t>
      </w:r>
    </w:p>
    <w:p w:rsidR="00627BB8" w:rsidRPr="00D109EF" w:rsidRDefault="00627BB8" w:rsidP="00627BB8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627BB8" w:rsidRDefault="00627BB8" w:rsidP="00627BB8">
      <w:pPr>
        <w:rPr>
          <w:sz w:val="28"/>
        </w:rPr>
      </w:pPr>
    </w:p>
    <w:p w:rsidR="00627BB8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z w:val="28"/>
        </w:rPr>
      </w:pPr>
      <w:r>
        <w:rPr>
          <w:snapToGrid w:val="0"/>
          <w:sz w:val="28"/>
        </w:rPr>
        <w:t xml:space="preserve">Функции АЦП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627BB8" w:rsidRPr="00170232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z w:val="28"/>
        </w:rPr>
      </w:pPr>
      <w:r>
        <w:rPr>
          <w:snapToGrid w:val="0"/>
          <w:sz w:val="28"/>
        </w:rPr>
        <w:t xml:space="preserve">Описание регистра управления </w:t>
      </w:r>
      <w:r>
        <w:rPr>
          <w:sz w:val="28"/>
        </w:rPr>
        <w:t xml:space="preserve">АЦП </w:t>
      </w:r>
      <w:r>
        <w:rPr>
          <w:sz w:val="28"/>
          <w:lang w:val="en-US"/>
        </w:rPr>
        <w:t>ADCSR</w:t>
      </w:r>
      <w:r>
        <w:rPr>
          <w:snapToGrid w:val="0"/>
          <w:sz w:val="28"/>
        </w:rPr>
        <w:t>.</w:t>
      </w:r>
    </w:p>
    <w:p w:rsidR="00627BB8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z w:val="28"/>
        </w:rPr>
      </w:pPr>
      <w:r>
        <w:rPr>
          <w:snapToGrid w:val="0"/>
          <w:sz w:val="28"/>
        </w:rPr>
        <w:t xml:space="preserve">Описание регистра мультиплексора АЦП </w:t>
      </w:r>
      <w:r>
        <w:rPr>
          <w:snapToGrid w:val="0"/>
          <w:sz w:val="28"/>
          <w:lang w:val="en-US"/>
        </w:rPr>
        <w:t>ADVUX</w:t>
      </w:r>
      <w:r>
        <w:rPr>
          <w:snapToGrid w:val="0"/>
          <w:sz w:val="28"/>
        </w:rPr>
        <w:t>.</w:t>
      </w:r>
    </w:p>
    <w:p w:rsidR="00627BB8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Особенности реализации преобразований АЦП в режиме </w:t>
      </w:r>
      <w:r>
        <w:rPr>
          <w:sz w:val="28"/>
          <w:szCs w:val="28"/>
          <w:lang w:val="en-US"/>
        </w:rPr>
        <w:t>ADC</w:t>
      </w:r>
      <w:r w:rsidRPr="00FB4D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Noise</w:t>
      </w:r>
      <w:r w:rsidRPr="00FB4D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Reduction</w:t>
      </w:r>
      <w:r>
        <w:rPr>
          <w:sz w:val="28"/>
          <w:szCs w:val="28"/>
        </w:rPr>
        <w:t>.</w:t>
      </w:r>
    </w:p>
    <w:p w:rsidR="00627BB8" w:rsidRPr="006F31BE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Способы подключения ИОН АЦП.</w:t>
      </w:r>
    </w:p>
    <w:p w:rsidR="00627BB8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z w:val="28"/>
        </w:rPr>
      </w:pPr>
      <w:r>
        <w:rPr>
          <w:snapToGrid w:val="0"/>
          <w:sz w:val="28"/>
        </w:rPr>
        <w:t>Параметры АЦП.</w:t>
      </w:r>
    </w:p>
    <w:p w:rsidR="00627BB8" w:rsidRDefault="00627BB8" w:rsidP="00627BB8">
      <w:pPr>
        <w:numPr>
          <w:ilvl w:val="0"/>
          <w:numId w:val="6"/>
        </w:numPr>
        <w:tabs>
          <w:tab w:val="left" w:pos="567"/>
        </w:tabs>
        <w:ind w:left="0"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Проект и файлы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 осуществляющие операции с АЦП согласно варианту задания, представленному в табл. 2.2.</w:t>
      </w: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ind w:firstLine="340"/>
        <w:jc w:val="both"/>
        <w:rPr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627BB8" w:rsidRDefault="00627BB8" w:rsidP="00627BB8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B1A"/>
    <w:multiLevelType w:val="hybridMultilevel"/>
    <w:tmpl w:val="BF3CE794"/>
    <w:lvl w:ilvl="0" w:tplc="D31EAD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3936BD0"/>
    <w:multiLevelType w:val="hybridMultilevel"/>
    <w:tmpl w:val="C688CB64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519E"/>
    <w:multiLevelType w:val="hybridMultilevel"/>
    <w:tmpl w:val="E864D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6275"/>
    <w:multiLevelType w:val="hybridMultilevel"/>
    <w:tmpl w:val="C76AB2A6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6C8D"/>
    <w:multiLevelType w:val="hybridMultilevel"/>
    <w:tmpl w:val="6E984136"/>
    <w:lvl w:ilvl="0" w:tplc="0419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B932591"/>
    <w:multiLevelType w:val="hybridMultilevel"/>
    <w:tmpl w:val="DEA29C94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9"/>
    <w:rsid w:val="00074B29"/>
    <w:rsid w:val="00627BB8"/>
    <w:rsid w:val="00740C22"/>
    <w:rsid w:val="009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BB8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27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B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627BB8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627B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627BB8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BB8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27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B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627BB8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627B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627BB8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2014-04-30T08:41:00Z</dcterms:created>
  <dcterms:modified xsi:type="dcterms:W3CDTF">2014-04-30T08:42:00Z</dcterms:modified>
</cp:coreProperties>
</file>