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46" w:rsidRDefault="00841F46" w:rsidP="00841F46"/>
    <w:p w:rsidR="00841F46" w:rsidRPr="001B065D" w:rsidRDefault="00841F46" w:rsidP="00841F46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  <w:t>ЛЕКЦИЯ № 7. Статистика уровня жизни населения</w:t>
      </w:r>
    </w:p>
    <w:p w:rsidR="00841F46" w:rsidRDefault="00841F46" w:rsidP="00841F46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7.1.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Понятие «уровень жизни населения»</w:t>
      </w:r>
    </w:p>
    <w:p w:rsidR="00841F46" w:rsidRPr="001B065D" w:rsidRDefault="00841F46" w:rsidP="00841F46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7.2.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Социальные нормативы и потребности</w:t>
      </w:r>
    </w:p>
    <w:p w:rsidR="00841F46" w:rsidRPr="001B065D" w:rsidRDefault="00841F46" w:rsidP="00841F46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7.3.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Задачи изучения уровня жизни</w:t>
      </w:r>
    </w:p>
    <w:p w:rsidR="00841F46" w:rsidRPr="001B065D" w:rsidRDefault="00841F46" w:rsidP="00841F46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841F46" w:rsidRDefault="00841F46" w:rsidP="00841F46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7.1.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Понятие «уровень жизни населения»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Уровень жизни – одна из главнейших социальных категорий.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Под уровнем жизни понимается уровень благосостояния населения, потребления материальных благ и услуг и степень удовлетворения целесообразных жизненных потребностей.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Уровень жизни населения определяется уровнем доходов в сравнении с прожиточным минимумом и с потребительским бюджетом, уровнем заработной платы, развитием социальной инфраструктуры, политикой государства по регулированию доходов, влиянием профсоюзов, уровнем НТП и другими факторами.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Стоимость жизни представляет собой денежную оценку благ и услуг, фактически потребляемых в среднем домохозяйстве в течение определенного промежутка времени и соответствующих установленному уровню удовлетворения потребностей.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В общем значении термин «уровень жизни населения» представляет собой понятие «качество жизни».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Следовательно, качество жизни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включает в себя еще и удовлетворение духовных потребностей, условия жизни, труда и занятости, быта и досуга, здоровье, продолжительность жизни, образование, природную среду обитания и т. д.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Выделяется четыре уровня жизни населения: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достаток (потребление благ, которые обеспечивают полное формирование человека);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нормальный уровень (целесообразное потребление по научно доказанным нормам, дающее возможность человеку восстановить его физические и интеллектуальные силы);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бедность (крайне недостаточное потребление благ для нормальной жизнедеятельности);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нищета (минимальное потребление благ, не позволяющее удовлетворить самые элементарные физиологические и социальные потребности и дающее возможность только лишь поддержать жизнеспособность человека).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Вследствие перехода к рыночной экономике произошло резкое снижение уровня жизни населения, усилилась дифференциация населения по уровню доходов. Повышение уровня жизни является первоочередным направлением общественного развития.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Благополучие народа – это главный критерий прогресса. Так как в рыночной экономике основным условием является всеобщее потребление, то потребитель – это центральная фигура, вокруг которой все вертится. Следовательно, нельзя производить то, что не будет потребляться.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Наиболее важными элементами уровня жизни выступают доходы населения и его социальное обеспечение, потребление им материальных благ и услуг, условия жизни, свободное время.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Обобщенно условия жизни можно разделить на условия труда, быта и досуга. Условия труда включают факторы производственной среды и трудового процесса (санитарно-гигиенические, психофизиологические, эстетические и социально-психологические), оказывающие влияние на работоспособность и здоровье работника.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Условия быта – это обеспеченность населения жильем, его благоустроенность, развитие сети бытового обслуживания (бань, прачечных, фотоателье, парикмахерских, ремонтных мастерских, предприятий ритуальных услуг, прокатных пунктов и т. д.), состояние общественного питания и торговли, общественного транспорта, медицинское обслуживание.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Условия досуга непосредственно связаны с использованием свободного времени людей. Свободное время – часть внерабочего времени, используемая полностью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по своему усмотрению, т. е. для развития личности, более полного удовлетворения социальных, духовных и интеллектуальных ее потребностей.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Вероятны три аспекта исследования уровня жизни: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применительно ко всему населению;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к его социальным группам;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к домохозяйствам с различной величиной дохода.</w:t>
      </w:r>
    </w:p>
    <w:p w:rsidR="00841F46" w:rsidRDefault="00841F46" w:rsidP="00841F46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841F46" w:rsidRPr="001B065D" w:rsidRDefault="00841F46" w:rsidP="00841F46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7.2.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Социальные нормативы и потребности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Значительную роль в изучении уровня жизни населения выполняют социальные нормативы как научно обоснованные направления социальных процессов в обществе.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Бывают социальные нормативы следующие: развитие материальной базы социальной сферы, доходов и расходов населения, социального обеспечения и обслуживания, потребления населением материальных благ и платных услуг, условий жизни, потребительского бюджета и др. Данные нормативы могут быть равными, представляющими абсолютную или относительную величину нормы.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Соответственно, выражаются эти нормы в натуральных показателях или процентах (допустимые варианты нормативов: моментные, интервальные, минимальные, максимальные), а также приростными, представленными в виде соотношения приростов двух показателей.</w:t>
      </w:r>
      <w:proofErr w:type="gramEnd"/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Непосредственное отношение к уровню жизни имеет потребительский бюджет, который суммирует нормативы (нормы) потребления населением материальных благ и услуг, разделенные по социальным и половозрастным группам населения, условиям и тяжести труда, климатическим зонам, месту проживания и т. д. Потребительский бюджет бывает минимальным и рациональным. Помимо этого, к основным социальным нормативам относятся: пособие по временной нетрудоспособности и минимальная заработная плата, пособие по безработице, минимальные трудовые и социальные пенсии для пожилых и нетрудоспособных граждан, инвалидов, стипендии учащимся, регулярные или разовые целевые пособия наиболее ранимым в материальном отношении группам населения (многодетным и малообеспеченным семьям, матерям-одиночкам и др.).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Совместно они создают систему минимальных социальных гарантий как долг государства обеспечить населению минимальные размеры оплаты труда и трудовой пенсии, возможность на получение пособий в рамках государственного социального страхования (в том числе по безработице, по болезни, по беременности и при рождении ребенка, по уходу за ребенком до достижения им возраста полутора лет, на погребение и др.), минимальный набор общедоступных и бесплатных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услуг в области образования, здравоохранения и культуры.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Прожиточный минимум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это центр социальной политики, представляющий собой стоимостную оценку потребительской корзины, а также обязательные платежи и сборы; и с ним должны увязываться все другие социальные стандарты и гарантии.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Имеющиеся нормативы отражают современные научные представления о потребностях людей в продукции, товарах, услугах, вещах – личных потребностях. Услуги всегда изменчивы, поэтому затрудняется их количественная оценка. Личные потребности показывают объективную необходимость в конкретном наборе и количестве материальных благ и услуг и социальных условий, в которых нуждается человек, которые желает, стремится иметь и потреблять, использовать. Данные блага и услуги обеспечивают всестороннюю деятельность определенного человека. Личные потребности подразделяются на: физиологические (физические), интеллектуальные (духовные) и социальные.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Физиологические (физические) потребности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являются базовыми, так как выражают потребности человека как биологического существа.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их составе естественными, первичными, выступают потребности в пище, воде, воздухе, одежде, обуви, тепле, жилище, отдыхе, сне, двигательной активности, а также другие потребности организма, связанные с поддержанием жизни и продлением рода.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Эти потребности составляют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фундамент всей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потребностной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сферы человека. Удовлетворение данных потребностей необходимо для поддержания нормальной жизнедеятельности.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удовлетворения важнейших физиологических потребностей человек должен быть обеспечен нормальными условиями труда и заработной платой, позволяющей на приемлемом уровне удовлетворять потребности в еде, одежде, в жилье (для разных людей и для разных стран или для разных регионов одной и той же страны этот уровень может существенно различаться).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Интеллектуальные (духовные) потребности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затрагивают образование, повышение квалификации, творческую деятельность, порождаемую внутренним состоянием человека.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Социальные потребности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соединены с функционированием человека в обществе – это социально-политическая деятельность, принадлежность к группе, дружба, самовыражение, общение с людьми, любовь, привязанность, одобрение, обеспечение социальных прав и т. д.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Так как интеллектуальные и социальные надобности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являются не главными нуждами и удовлетворение их происходит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после того, как произойдет некоторый уровень удовлетворения основных нужд, то они имеют только косвенную оценку. Обстановка для удовлетворения данных потребностей зависит от бюджета времени населения. По значениям рабочего, нерабочего и свободного времени происходит оценка эффективности рабочего времени и возможности удовлетворения интеллектуальных и социальных потребностей человека.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Потребности также разделяют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: рациональные (разумные) и иррациональные.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Рациональные потребности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это потребление тех благ и услуг, которые необходимы для поддержания здорового образа жизни человека и гармоничного развития личности. Таковыми являются общественно полезные потребности, плохо поддающиеся количественной оценке, определяемые условно с помощью рациональных норм и нормативов (кроме рациональных норм потребления продуктов питания, устанавливаемых на основе данных науки о питании).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Иррациональные потребности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это вредные потребности, выходящие за рамки разумных норм, принимающие гипертрофированные, иногда извращенные формы, в частности по отношению к питанию.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Внешней формой обнаружения личных потребностей выступает спрос населения, отражающий его платежеспособные возможности.</w:t>
      </w:r>
    </w:p>
    <w:p w:rsidR="00841F46" w:rsidRPr="001B065D" w:rsidRDefault="00841F46" w:rsidP="00841F46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7.3.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Задачи изучения уровня жизни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Наиглавнейшая задача статистики уровня жизни – обнаружение закономерностей трансформирования благосостояния населения.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этого осуществляются исследования, которые охватывают как всю страну, так и ее регионы, социально-демографические группы населения и различные типы домашних хозяйств. Соответственно, это даст возможность проследить отличия в уровне жизни в зависимости от экономических, природно-климатических, национальных и других особенностей, а также от доходов населения. Плоды исследований могут носить либо общий характер, либо частный, объединенный, например, с оценкой потребления населением определенных благ и обеспеченности его различными услугами.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К задачам изучения уровня жизни также относятся: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комплексное рассмотрение структуры, динамики и темпов изменения его показателей;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дифференциация различных групп населения по доходам и потреблению и анализ влияния различных социально-экономических факторов на это изменение;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оценка степени удовлетворения потребностей населения в материальных благах и различных услугах по сравнению с рациональными нормами их потребления и разработка на этой основе обобщающих показателей уровня жизни</w:t>
      </w:r>
      <w:bookmarkStart w:id="0" w:name="r19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"n_19" \o "Практикум по социальной статистике: Учеб. пособие для вузов / Елисеева И. И., Васильева Э. К., Гордеенко Н. М. и др.; Под ред. Елисеевой И. И. М.: Финансы и статистика, 2002. С. 75.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[19]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Источниками сведений для решения поставленных задач являются: текущий учет и отчетность организаций, предприятий и учреждений, которые обслуживают население; данные статистики труда, переписей населения, занятости населения, трудоустройства и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оплаты, бюджетов домашних хозяйств, разного рода логических и других обследований социальных условий жизни и деятельности людей.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Особенное место в анализе уровня жизни населения занимает статистика бюджетов домашних хозяйств, которая основана на дневных записях доходов и расходов 49 тыс. домохозяйств. Для изучения органами государственной статистики обобщаются и используются оценки уровня и динамики материальной обеспеченности домохозяйств с различными доходами. В общем здесь определяется приблизительно 3 тыс. показателей, в число которых входят и характеризующие: состав домохозяйства по возрасту, полу, виду деятельности; доходы домохозяйства по источникам зачисления; затраты на некоторые виды услуг; приобретение и потребление продовольственных и непродовольственных товаров; личное подсобное хозяйство; жилищные условия и др.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Определяется информация в территориальном и федеральном разделениях: по некоторым категориям изучаемых хозяйств; по величине домохозяйства, по величине среднедушевого совокупного дохода; существованию детей и т. п. Благодаря этим данным можно определить доходы населения, состав его денежных доходов и расходов, потребление продуктов питания, непродовольственных товаров и услуг, эластичность потребления, показатели дифференциации доходов и расходов и т. д.</w:t>
      </w:r>
      <w:proofErr w:type="gramEnd"/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Возникает ряд проблем, связанных с улучшением бюджетных обследований. Главным образом речь идет об улучшении выборки домохозяйств, от которой зависит представительность выборки (репрезентативность) данных, выборку необходимо представить и хозяйствами, ориентированными на предпринимательский доход, и домохозяйствами студентов, инвалидов, домашними хозяйствами с главой семьи – безработным.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Существенно то, чтобы в ней были представлены домохозяйства всех сфер деятельности, включая торговлю, науку, культуру, искусство, государственное управление всех уровней, оборону, защиту безопасности и охрану общественного порядка.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Необходима и плановая ротация (поочередная замена руководителей с целью обновления управленческого звена и создания возможностей роста для других членов) наблюдаемых домашних хозяйств, что позволяет исключить длительное пребывание в обследовании постоянного их круга и тем самым обеспечить большую адекватность социально-демографических характеристик домохозяйств аналогичным показателям по населению в целом.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Комплексное изучение уровня жизни населения возможно только с помощью системы статистических показателей. Согласно генеральному соглашению от 29 декабря 2004 г. между общероссийскими объединениями профсоюзов, общероссийскими объединениями работодателей и Правительством РФ на 2005– 2007 гг. разработана система «Основные социально-экономические показатели мониторинга качества и уровня жизни населения».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ней представлено 35 показателей: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валовой внутренний продукт;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инвестиции в основной капитал;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расходы консолидированного бюджета Российской Федерации на социально-культурные мероприятия;</w:t>
      </w:r>
      <w:bookmarkStart w:id="1" w:name="r20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"n_20" \o "Ежегодно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[20]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численность постоянного населения;</w:t>
      </w:r>
      <w:bookmarkStart w:id="2" w:name="r21"/>
      <w:bookmarkEnd w:id="2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"n_21" \o "Ежегодно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[21]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ожидаемая продолжительность жизни при рождении;</w:t>
      </w:r>
      <w:bookmarkStart w:id="3" w:name="r22"/>
      <w:bookmarkEnd w:id="3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"n_22" \o "Ежегодно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[22]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6) общий коэффициент рождаемости;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7) общий коэффициент смертности;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8) естественный прирост (убыль) населения;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9) денежные доходы в среднем на душу населения;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10) реальные располагаемые денежные доходы;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11) начисленная среднемесячная заработная плата (номинальная, в целом по экономике, по отраслям экономики, реальная);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12) просроченная задолженность по заработной плате;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13) доля оплаты труда наемных работников в валовом внутреннем продукте;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14) среднемесячный размер назначенных пенсий (номинальный, реальный);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15) прожиточный минимум в среднем на душу населения, в том числе по социально-демографическим группам населения (трудоспособное население, пенсионеры, дети);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16) отношение к прожиточному минимуму среднедушевых доходов, среднемесячной заработной платы, среднего размера назначенных месячных пенсий;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17) численность населения с денежными доходами ниже прожиточного минимума;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18) соотношение доходов 10% наиболее и 10% наименее обеспеченного населения;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19) индекс потребительских цен;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20) доля расходов на питание в потребительских расходах домашних хозяйств;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21) численность экономически активного населения (на конец периода);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22) численность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занятых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экономике;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23) распределение занятого населения по статусу, по отраслям экономики;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24) общая численность безработных;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25) численность зарегистрированных безработных;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26) число безработных на одну вакансию, заявленную организациями в органы государственной службы занятости (на конец периода);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27) численность граждан, трудоустроенных при содействии органов государственной службы занятости (за период с начала года);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28) направление на профессиональное обучение органами государственной службы занятости;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29) число регионов с напряженной ситуацией на рынке труда;</w:t>
      </w:r>
      <w:bookmarkStart w:id="4" w:name="r23"/>
      <w:bookmarkEnd w:id="4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"n_23" \o "Ежегодно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[23]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30) удельный вес работников, занятых во вредных и опасных условиях труда, в том числе женщин;</w:t>
      </w:r>
      <w:bookmarkStart w:id="5" w:name="r24"/>
      <w:bookmarkEnd w:id="5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"n_24" \o "Ежегодно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[24]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31) производственный травматизм, в том числе со смертельным исходом;</w:t>
      </w:r>
      <w:bookmarkStart w:id="6" w:name="r25"/>
      <w:bookmarkEnd w:id="6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"n_25" \o "Ежегодно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[25]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32) основные виды профессиональных заболеваний;</w:t>
      </w:r>
      <w:bookmarkStart w:id="7" w:name="r26"/>
      <w:bookmarkEnd w:id="7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"n_26" \o "Ежегодно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[26]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33) объем промышленной продукции;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34) минимальный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размер оплаты труда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;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35) тарифная ставка I разряда Единой тарифной сетки.</w:t>
      </w:r>
    </w:p>
    <w:p w:rsidR="00841F46" w:rsidRPr="001B065D" w:rsidRDefault="00841F46" w:rsidP="00841F46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Происходит изменение системы социальных показателей вместе с преобразованием социальных отношений. Следовательно, развитие рынка жилья активизирует потребность в появлении такого показателя, как «число квартир, которые предназначены для продажи (во вновь построенных домах, в домах после капитального ремонта)»; развитие платного обучения также необходимо отражать специальным показателем «доля обучающихся за плату» и т. д.</w:t>
      </w:r>
    </w:p>
    <w:p w:rsidR="00234D0F" w:rsidRPr="00841F46" w:rsidRDefault="00234D0F" w:rsidP="00841F46">
      <w:pPr>
        <w:jc w:val="center"/>
      </w:pPr>
    </w:p>
    <w:sectPr w:rsidR="00234D0F" w:rsidRPr="00841F46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841F46"/>
    <w:rsid w:val="0000178A"/>
    <w:rsid w:val="00234D0F"/>
    <w:rsid w:val="00735E56"/>
    <w:rsid w:val="00841F46"/>
    <w:rsid w:val="009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2513</Words>
  <Characters>14328</Characters>
  <Application>Microsoft Office Word</Application>
  <DocSecurity>0</DocSecurity>
  <Lines>119</Lines>
  <Paragraphs>33</Paragraphs>
  <ScaleCrop>false</ScaleCrop>
  <Company/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2020-03-17T12:49:00Z</dcterms:created>
  <dcterms:modified xsi:type="dcterms:W3CDTF">2020-03-17T12:50:00Z</dcterms:modified>
</cp:coreProperties>
</file>