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69" w:rsidRDefault="007E7C69" w:rsidP="007E7C69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При использовании статических методов денежные поступления и выплаты, возникающие в разные периоды  времени,  оцениваются</w:t>
      </w:r>
      <w:proofErr w:type="gramStart"/>
      <w:r>
        <w:rPr>
          <w:sz w:val="22"/>
        </w:rPr>
        <w:t xml:space="preserve"> :</w:t>
      </w:r>
      <w:proofErr w:type="gramEnd"/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равноценные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неравноценные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При использовании  динамических методов  поступления и выплаты,  возникающие в различные моменты времени, оцениваются__________</w:t>
      </w:r>
    </w:p>
    <w:p w:rsidR="007E7C69" w:rsidRDefault="007E7C69" w:rsidP="007E7C69">
      <w:pPr>
        <w:rPr>
          <w:sz w:val="22"/>
        </w:rPr>
      </w:pPr>
      <w:r>
        <w:rPr>
          <w:i/>
          <w:sz w:val="22"/>
        </w:rPr>
        <w:t xml:space="preserve">Правильные варианты ответа: </w:t>
      </w:r>
      <w:r>
        <w:rPr>
          <w:sz w:val="22"/>
        </w:rPr>
        <w:t xml:space="preserve">неравноценные; 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__________ процент - это способ, при котором все выплаты по процентам реинвестируются и приносят такой же процент дохода.</w:t>
      </w:r>
    </w:p>
    <w:p w:rsidR="007E7C69" w:rsidRDefault="007E7C69" w:rsidP="007E7C69">
      <w:pPr>
        <w:rPr>
          <w:sz w:val="22"/>
        </w:rPr>
      </w:pP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bookmarkStart w:id="0" w:name="_GoBack"/>
      <w:bookmarkEnd w:id="0"/>
      <w:r>
        <w:rPr>
          <w:b/>
          <w:i/>
          <w:sz w:val="22"/>
        </w:rPr>
        <w:t>5.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lastRenderedPageBreak/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sym w:font="Times New Roman" w:char="F0A3"/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Метод анализа точки безубыточности для оценки экономической эффективности инвестиций относится к_______ методам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ЧДД, ВНД, ИД, срок окупаемости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прибыль, себестоимость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показатели рентабельности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r>
        <w:t>Соответствие линий и точек для  8.</w:t>
      </w:r>
    </w:p>
    <w:p w:rsidR="007E7C69" w:rsidRDefault="007E7C69" w:rsidP="007E7C69"/>
    <w:p w:rsidR="007E7C69" w:rsidRDefault="007E7C69" w:rsidP="007E7C69">
      <w:r>
        <w:rPr>
          <w:noProof/>
        </w:rPr>
        <w:drawing>
          <wp:inline distT="0" distB="0" distL="0" distR="0">
            <wp:extent cx="328612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/>
    <w:p w:rsidR="007E7C69" w:rsidRDefault="007E7C69" w:rsidP="007E7C69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общим расходам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кривой изменения объема продаж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прибыли до уплаты налогов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переменным расходам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постоянным расходам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убытков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точке безубыточности</w:t>
      </w:r>
    </w:p>
    <w:p w:rsidR="000D6013" w:rsidRDefault="000D6013"/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69"/>
    <w:rsid w:val="000D6013"/>
    <w:rsid w:val="007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2020-04-20T17:28:00Z</dcterms:created>
  <dcterms:modified xsi:type="dcterms:W3CDTF">2020-04-20T17:29:00Z</dcterms:modified>
</cp:coreProperties>
</file>