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597"/>
        <w:gridCol w:w="4635"/>
      </w:tblGrid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microgeneration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</w:rPr>
              <w:t>М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икрогенерация</w:t>
            </w:r>
            <w:proofErr w:type="spellEnd"/>
            <w:r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микропроизводство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photo voltaic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Ф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отоэлектрический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гальванический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boiler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котел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by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product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побочный продукт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emerge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оявляться</w:t>
            </w:r>
            <w:r>
              <w:rPr>
                <w:rFonts w:cstheme="minorHAnsi"/>
                <w:color w:val="333333"/>
                <w:shd w:val="clear" w:color="auto" w:fill="FFFFFF"/>
              </w:rPr>
              <w:t>, возникать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set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Н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абор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устанавливать, настраивать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evenly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равномерно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interference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В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мешательство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помеха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remotely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Д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истанционно</w:t>
            </w:r>
            <w:r>
              <w:rPr>
                <w:rFonts w:cstheme="minorHAnsi"/>
                <w:color w:val="333333"/>
                <w:shd w:val="clear" w:color="auto" w:fill="FFFFFF"/>
              </w:rPr>
              <w:t>, удаленно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reverse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power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flow</w:t>
            </w:r>
          </w:p>
        </w:tc>
        <w:tc>
          <w:tcPr>
            <w:tcW w:w="4786" w:type="dxa"/>
          </w:tcPr>
          <w:p w:rsidR="00666550" w:rsidRPr="009D06C1" w:rsidRDefault="00666550">
            <w:pPr>
              <w:ind w:left="0"/>
              <w:rPr>
                <w:rFonts w:cstheme="minorHAnsi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обратный поток энергии</w:t>
            </w:r>
            <w:r w:rsidR="009D06C1">
              <w:rPr>
                <w:rFonts w:cstheme="minorHAnsi"/>
                <w:color w:val="333333"/>
                <w:shd w:val="clear" w:color="auto" w:fill="FFFFFF"/>
              </w:rPr>
              <w:t xml:space="preserve"> – обратное направление мощности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sleek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Г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ладкий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глянцевый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run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У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правлять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запускать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occur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В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озникать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происходить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flatten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В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ыравнивать</w:t>
            </w:r>
            <w:r>
              <w:rPr>
                <w:rFonts w:cstheme="minorHAnsi"/>
                <w:color w:val="333333"/>
                <w:shd w:val="clear" w:color="auto" w:fill="FFFFFF"/>
              </w:rPr>
              <w:t>, сглаживать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peak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shaving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пиковая обрезка</w:t>
            </w:r>
            <w:r w:rsidR="009D06C1">
              <w:rPr>
                <w:rFonts w:cstheme="minorHAnsi"/>
                <w:color w:val="333333"/>
                <w:shd w:val="clear" w:color="auto" w:fill="FFFFFF"/>
              </w:rPr>
              <w:t xml:space="preserve"> – ограничения нагрузки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enhanced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П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овышенный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улучшенный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meter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М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етр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измерительный прибор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hub</w:t>
            </w:r>
          </w:p>
        </w:tc>
        <w:tc>
          <w:tcPr>
            <w:tcW w:w="4786" w:type="dxa"/>
          </w:tcPr>
          <w:p w:rsidR="00666550" w:rsidRPr="009D06C1" w:rsidRDefault="009D06C1">
            <w:pPr>
              <w:ind w:left="0"/>
              <w:rPr>
                <w:rFonts w:cstheme="minorHAnsi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К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онцентратор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сетевое устройство, к которому подключаются абонентские линий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burden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агрузка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, бремя 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prevalent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распространенный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rollouts</w:t>
            </w:r>
          </w:p>
        </w:tc>
        <w:tc>
          <w:tcPr>
            <w:tcW w:w="4786" w:type="dxa"/>
          </w:tcPr>
          <w:p w:rsidR="00666550" w:rsidRPr="0065310C" w:rsidRDefault="009D06C1" w:rsidP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С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четчики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 </w:t>
            </w:r>
            <w:r w:rsidRPr="009D06C1">
              <w:rPr>
                <w:rFonts w:cstheme="minorHAnsi"/>
                <w:color w:val="333333"/>
                <w:szCs w:val="21"/>
              </w:rPr>
              <w:t xml:space="preserve">массовый выпуск продвижение новой продукции на весь </w:t>
            </w:r>
            <w:proofErr w:type="spellStart"/>
            <w:r w:rsidRPr="009D06C1">
              <w:rPr>
                <w:rFonts w:cstheme="minorHAnsi"/>
                <w:color w:val="333333"/>
                <w:szCs w:val="21"/>
              </w:rPr>
              <w:t>рыной</w:t>
            </w:r>
            <w:proofErr w:type="spellEnd"/>
            <w:r>
              <w:rPr>
                <w:rFonts w:cstheme="minorHAnsi"/>
                <w:color w:val="333333"/>
                <w:szCs w:val="21"/>
              </w:rPr>
              <w:t xml:space="preserve"> после успешных пробных попыток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unbundling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Р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азукрупнение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разгруппирование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deployment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Р</w:t>
            </w:r>
            <w:r w:rsidR="00666550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азвертывание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– ввод в действие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pre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>-</w:t>
            </w:r>
            <w:proofErr w:type="spellStart"/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emptive</w:t>
            </w:r>
            <w:proofErr w:type="spellEnd"/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упреждающий</w:t>
            </w:r>
          </w:p>
        </w:tc>
      </w:tr>
      <w:tr w:rsid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upcoming</w:t>
            </w:r>
          </w:p>
        </w:tc>
        <w:tc>
          <w:tcPr>
            <w:tcW w:w="4786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предстоящий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66550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TIBCO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Американская </w:t>
            </w:r>
            <w:r w:rsidR="00666550" w:rsidRPr="0065310C">
              <w:rPr>
                <w:rFonts w:cstheme="minorHAnsi"/>
                <w:color w:val="333333"/>
                <w:shd w:val="clear" w:color="auto" w:fill="FFFFFF"/>
              </w:rPr>
              <w:t>компания-разработчик программного обеспечения для организаций</w:t>
            </w:r>
            <w:r>
              <w:rPr>
                <w:rFonts w:cstheme="minorHAnsi"/>
                <w:color w:val="333333"/>
                <w:shd w:val="clear" w:color="auto" w:fill="FFFFFF"/>
              </w:rPr>
              <w:t>, один из основных поставщиков связующего программного обеспечения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continuously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непрерывно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spot</w:t>
            </w:r>
          </w:p>
        </w:tc>
        <w:tc>
          <w:tcPr>
            <w:tcW w:w="4786" w:type="dxa"/>
          </w:tcPr>
          <w:p w:rsidR="00666550" w:rsidRPr="0065310C" w:rsidRDefault="009D06C1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9D06C1">
              <w:rPr>
                <w:rFonts w:cstheme="minorHAnsi"/>
                <w:strike/>
                <w:color w:val="333333"/>
                <w:shd w:val="clear" w:color="auto" w:fill="FFFFFF"/>
              </w:rPr>
              <w:t>Т</w:t>
            </w:r>
            <w:r w:rsidR="0065310C" w:rsidRPr="009D06C1">
              <w:rPr>
                <w:rFonts w:cstheme="minorHAnsi"/>
                <w:strike/>
                <w:color w:val="333333"/>
                <w:shd w:val="clear" w:color="auto" w:fill="FFFFFF"/>
              </w:rPr>
              <w:t>очечный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- обнаружить</w:t>
            </w:r>
          </w:p>
        </w:tc>
      </w:tr>
      <w:tr w:rsidR="00666550" w:rsidRPr="00666550" w:rsidTr="00666550">
        <w:tc>
          <w:tcPr>
            <w:tcW w:w="4785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overall</w:t>
            </w:r>
            <w:r w:rsidRPr="0065310C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65310C">
              <w:rPr>
                <w:rFonts w:cstheme="minorHAnsi"/>
                <w:color w:val="333333"/>
                <w:shd w:val="clear" w:color="auto" w:fill="FFFFFF"/>
                <w:lang w:val="en-US"/>
              </w:rPr>
              <w:t>reliability</w:t>
            </w:r>
          </w:p>
        </w:tc>
        <w:tc>
          <w:tcPr>
            <w:tcW w:w="4786" w:type="dxa"/>
          </w:tcPr>
          <w:p w:rsidR="00666550" w:rsidRPr="0065310C" w:rsidRDefault="0065310C">
            <w:pPr>
              <w:ind w:left="0"/>
              <w:rPr>
                <w:rFonts w:cstheme="minorHAnsi"/>
                <w:color w:val="333333"/>
                <w:shd w:val="clear" w:color="auto" w:fill="FFFFFF"/>
              </w:rPr>
            </w:pPr>
            <w:r w:rsidRPr="0065310C">
              <w:rPr>
                <w:rFonts w:cstheme="minorHAnsi"/>
                <w:color w:val="333333"/>
                <w:shd w:val="clear" w:color="auto" w:fill="FFFFFF"/>
              </w:rPr>
              <w:t>общая надежность</w:t>
            </w:r>
          </w:p>
        </w:tc>
      </w:tr>
    </w:tbl>
    <w:p w:rsidR="00410143" w:rsidRPr="00666550" w:rsidRDefault="00410143" w:rsidP="00666550">
      <w:pPr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F8" w:rsidRPr="00666550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08F8" w:rsidRPr="00666550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3"/>
    <w:rsid w:val="00033742"/>
    <w:rsid w:val="00137261"/>
    <w:rsid w:val="00242B0D"/>
    <w:rsid w:val="00270B88"/>
    <w:rsid w:val="00354E57"/>
    <w:rsid w:val="00410143"/>
    <w:rsid w:val="00436813"/>
    <w:rsid w:val="004E621B"/>
    <w:rsid w:val="00561BD7"/>
    <w:rsid w:val="00574DA7"/>
    <w:rsid w:val="005B5AFA"/>
    <w:rsid w:val="0065310C"/>
    <w:rsid w:val="00666550"/>
    <w:rsid w:val="006A3628"/>
    <w:rsid w:val="00756333"/>
    <w:rsid w:val="00847661"/>
    <w:rsid w:val="008B2895"/>
    <w:rsid w:val="008B42AA"/>
    <w:rsid w:val="00980F96"/>
    <w:rsid w:val="009D06C1"/>
    <w:rsid w:val="009F44B4"/>
    <w:rsid w:val="00A108F8"/>
    <w:rsid w:val="00A17B2A"/>
    <w:rsid w:val="00A5571D"/>
    <w:rsid w:val="00BF4223"/>
    <w:rsid w:val="00DF51C9"/>
    <w:rsid w:val="00E42A9F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861D7-30B3-423C-A2F1-3D505E5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D06C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2385-661D-4462-BEF8-9DAB9A58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3</cp:revision>
  <dcterms:created xsi:type="dcterms:W3CDTF">2020-04-20T11:55:00Z</dcterms:created>
  <dcterms:modified xsi:type="dcterms:W3CDTF">2020-04-27T12:21:00Z</dcterms:modified>
</cp:coreProperties>
</file>