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AA372C" w:rsidRDefault="00BF4223">
      <w:pPr>
        <w:rPr>
          <w:rFonts w:ascii="Cambria" w:hAnsi="Cambria" w:cs="Times New Roman"/>
          <w:lang w:val="en-US"/>
        </w:rPr>
      </w:pPr>
      <w:proofErr w:type="gramStart"/>
      <w:r w:rsidRPr="00AA372C">
        <w:rPr>
          <w:rFonts w:ascii="Cambria" w:hAnsi="Cambria" w:cs="Times New Roman"/>
          <w:lang w:val="en-US"/>
        </w:rPr>
        <w:t>Smart grids (Part 3(I</w:t>
      </w:r>
      <w:r w:rsidR="0043775C" w:rsidRPr="00AA372C">
        <w:rPr>
          <w:rFonts w:ascii="Cambria" w:hAnsi="Cambria" w:cs="Times New Roman"/>
          <w:lang w:val="en-US"/>
        </w:rPr>
        <w:t>V</w:t>
      </w:r>
      <w:r w:rsidRPr="00AA372C">
        <w:rPr>
          <w:rFonts w:ascii="Cambria" w:hAnsi="Cambria" w:cs="Times New Roman"/>
          <w:lang w:val="en-US"/>
        </w:rPr>
        <w:t>))</w:t>
      </w:r>
      <w:r w:rsidR="00033742" w:rsidRPr="00AA372C">
        <w:rPr>
          <w:rFonts w:ascii="Cambria" w:hAnsi="Cambria" w:cs="Times New Roman"/>
          <w:lang w:val="en-US"/>
        </w:rPr>
        <w:t xml:space="preserve"> Voc.</w:t>
      </w:r>
      <w:proofErr w:type="gramEnd"/>
    </w:p>
    <w:p w:rsidR="00EF369C" w:rsidRPr="00AA372C" w:rsidRDefault="00EF369C" w:rsidP="00BF4223">
      <w:pPr>
        <w:jc w:val="both"/>
        <w:rPr>
          <w:rFonts w:ascii="Cambria" w:hAnsi="Cambria" w:cs="Times New Roman"/>
          <w:color w:val="000000" w:themeColor="text1"/>
          <w:lang w:val="en-US"/>
        </w:rPr>
      </w:pPr>
    </w:p>
    <w:tbl>
      <w:tblPr>
        <w:tblStyle w:val="a3"/>
        <w:tblW w:w="0" w:type="auto"/>
        <w:tblInd w:w="113" w:type="dxa"/>
        <w:tblLook w:val="04A0"/>
      </w:tblPr>
      <w:tblGrid>
        <w:gridCol w:w="4723"/>
        <w:gridCol w:w="4735"/>
      </w:tblGrid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virtual power plants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виртуальные электростанции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distributed energy resource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распределенный энергетический ресурс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means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средство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gain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получить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behave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ведет себя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inefficiently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неэффективно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prime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главный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guise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вид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demand</w:t>
            </w: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</w:rPr>
              <w:t>-</w:t>
            </w: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side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со стороны спроса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deregulated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нерегулируемый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schedule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график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collaborative project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совместный проект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harness</w:t>
            </w:r>
          </w:p>
        </w:tc>
        <w:tc>
          <w:tcPr>
            <w:tcW w:w="4735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</w:rPr>
            </w:pPr>
            <w:r w:rsidRPr="00AA372C">
              <w:rPr>
                <w:rFonts w:ascii="Cambria" w:hAnsi="Cambria" w:cs="Times New Roman"/>
              </w:rPr>
              <w:t>обуздывать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equitable access</w:t>
            </w:r>
          </w:p>
        </w:tc>
        <w:tc>
          <w:tcPr>
            <w:tcW w:w="4735" w:type="dxa"/>
          </w:tcPr>
          <w:p w:rsidR="00AA372C" w:rsidRPr="00AA372C" w:rsidRDefault="00AA372C" w:rsidP="00AA372C">
            <w:pPr>
              <w:ind w:left="0"/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</w:rPr>
              <w:t>равный</w:t>
            </w: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</w:rPr>
              <w:t>доступ</w:t>
            </w:r>
          </w:p>
        </w:tc>
      </w:tr>
      <w:tr w:rsidR="00AA372C" w:rsidRPr="00AA372C" w:rsidTr="00AA372C">
        <w:tc>
          <w:tcPr>
            <w:tcW w:w="4723" w:type="dxa"/>
          </w:tcPr>
          <w:p w:rsidR="00AA372C" w:rsidRPr="00AA372C" w:rsidRDefault="00AA372C" w:rsidP="00BF4223">
            <w:pPr>
              <w:ind w:left="0"/>
              <w:jc w:val="both"/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  <w:lang w:val="en-US"/>
              </w:rPr>
              <w:t>current</w:t>
            </w:r>
          </w:p>
        </w:tc>
        <w:tc>
          <w:tcPr>
            <w:tcW w:w="4735" w:type="dxa"/>
          </w:tcPr>
          <w:p w:rsidR="00AA372C" w:rsidRPr="00AA372C" w:rsidRDefault="00AA372C" w:rsidP="00AA372C">
            <w:pPr>
              <w:jc w:val="both"/>
              <w:rPr>
                <w:rFonts w:ascii="Cambria" w:hAnsi="Cambria" w:cs="Times New Roman"/>
                <w:lang w:val="en-US"/>
              </w:rPr>
            </w:pPr>
            <w:r w:rsidRPr="00AA372C">
              <w:rPr>
                <w:rFonts w:ascii="Cambria" w:hAnsi="Cambria" w:cs="Times New Roman"/>
                <w:color w:val="000000" w:themeColor="text1"/>
                <w:shd w:val="clear" w:color="auto" w:fill="FFFFFF"/>
              </w:rPr>
              <w:t>действующий</w:t>
            </w:r>
          </w:p>
        </w:tc>
      </w:tr>
    </w:tbl>
    <w:p w:rsidR="00A108F8" w:rsidRPr="00EF369C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EF369C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23"/>
    <w:rsid w:val="00033742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5E245F"/>
    <w:rsid w:val="00637B13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AA372C"/>
    <w:rsid w:val="00BF4223"/>
    <w:rsid w:val="00DF51C9"/>
    <w:rsid w:val="00E42A9F"/>
    <w:rsid w:val="00EC2113"/>
    <w:rsid w:val="00EF369C"/>
    <w:rsid w:val="00FC5BBE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D2E5-4C7A-44FD-B6FB-E09C66BB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CDO</cp:lastModifiedBy>
  <cp:revision>2</cp:revision>
  <dcterms:created xsi:type="dcterms:W3CDTF">2020-05-11T13:57:00Z</dcterms:created>
  <dcterms:modified xsi:type="dcterms:W3CDTF">2020-05-11T13:57:00Z</dcterms:modified>
</cp:coreProperties>
</file>