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21" w:type="dxa"/>
        <w:tblLook w:val="04A0" w:firstRow="1" w:lastRow="0" w:firstColumn="1" w:lastColumn="0" w:noHBand="0" w:noVBand="1"/>
      </w:tblPr>
      <w:tblGrid>
        <w:gridCol w:w="4710"/>
        <w:gridCol w:w="4711"/>
      </w:tblGrid>
      <w:tr w:rsidR="00A6795D" w:rsidTr="00A6795D">
        <w:trPr>
          <w:trHeight w:val="381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Small-scale</w:t>
            </w:r>
          </w:p>
        </w:tc>
        <w:tc>
          <w:tcPr>
            <w:tcW w:w="4711" w:type="dxa"/>
          </w:tcPr>
          <w:p w:rsidR="00A6795D" w:rsidRDefault="00EC0A93">
            <w:r>
              <w:t>Мелкомасштабный</w:t>
            </w:r>
          </w:p>
        </w:tc>
      </w:tr>
      <w:tr w:rsidR="00A6795D" w:rsidTr="00A6795D">
        <w:trPr>
          <w:trHeight w:val="354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Embedded</w:t>
            </w:r>
          </w:p>
        </w:tc>
        <w:tc>
          <w:tcPr>
            <w:tcW w:w="4711" w:type="dxa"/>
          </w:tcPr>
          <w:p w:rsidR="00A6795D" w:rsidRDefault="00EC0A93">
            <w:r>
              <w:t>Интегрированный</w:t>
            </w:r>
          </w:p>
        </w:tc>
      </w:tr>
      <w:tr w:rsidR="00A6795D" w:rsidTr="00A6795D">
        <w:trPr>
          <w:trHeight w:val="381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Cut down</w:t>
            </w:r>
          </w:p>
        </w:tc>
        <w:tc>
          <w:tcPr>
            <w:tcW w:w="4711" w:type="dxa"/>
          </w:tcPr>
          <w:p w:rsidR="00A6795D" w:rsidRDefault="00EC0A93">
            <w:r>
              <w:t>Сокращать</w:t>
            </w:r>
          </w:p>
        </w:tc>
      </w:tr>
      <w:tr w:rsidR="00A6795D" w:rsidTr="00A6795D">
        <w:trPr>
          <w:trHeight w:val="354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Cause</w:t>
            </w:r>
          </w:p>
        </w:tc>
        <w:tc>
          <w:tcPr>
            <w:tcW w:w="4711" w:type="dxa"/>
          </w:tcPr>
          <w:p w:rsidR="00A6795D" w:rsidRDefault="00EC0A93">
            <w:r>
              <w:t>Вызвать</w:t>
            </w:r>
          </w:p>
        </w:tc>
      </w:tr>
      <w:tr w:rsidR="00A6795D" w:rsidTr="00A6795D">
        <w:trPr>
          <w:trHeight w:val="381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Huge</w:t>
            </w:r>
          </w:p>
        </w:tc>
        <w:tc>
          <w:tcPr>
            <w:tcW w:w="4711" w:type="dxa"/>
          </w:tcPr>
          <w:p w:rsidR="00A6795D" w:rsidRDefault="00EC0A93">
            <w:r>
              <w:t>Колоссальные, огромные</w:t>
            </w:r>
          </w:p>
        </w:tc>
      </w:tr>
      <w:tr w:rsidR="00A6795D" w:rsidTr="00A6795D">
        <w:trPr>
          <w:trHeight w:val="354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Fluctuations</w:t>
            </w:r>
          </w:p>
        </w:tc>
        <w:tc>
          <w:tcPr>
            <w:tcW w:w="4711" w:type="dxa"/>
          </w:tcPr>
          <w:p w:rsidR="00A6795D" w:rsidRDefault="00EC0A93">
            <w:r>
              <w:t>Колебания</w:t>
            </w:r>
          </w:p>
        </w:tc>
      </w:tr>
      <w:tr w:rsidR="00A6795D" w:rsidTr="00A6795D">
        <w:trPr>
          <w:trHeight w:val="381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Thermal ratings</w:t>
            </w:r>
          </w:p>
        </w:tc>
        <w:tc>
          <w:tcPr>
            <w:tcW w:w="4711" w:type="dxa"/>
          </w:tcPr>
          <w:p w:rsidR="00A6795D" w:rsidRDefault="00EC0A93">
            <w:r>
              <w:t>Максимально допустимая тепловая нагрузка</w:t>
            </w:r>
          </w:p>
        </w:tc>
      </w:tr>
      <w:tr w:rsidR="00A6795D" w:rsidTr="00A6795D">
        <w:trPr>
          <w:trHeight w:val="354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Dynamic demand</w:t>
            </w:r>
          </w:p>
        </w:tc>
        <w:tc>
          <w:tcPr>
            <w:tcW w:w="4711" w:type="dxa"/>
          </w:tcPr>
          <w:p w:rsidR="00A6795D" w:rsidRDefault="00EC0A93">
            <w:r>
              <w:t>Динамический спрос</w:t>
            </w:r>
          </w:p>
        </w:tc>
      </w:tr>
      <w:tr w:rsidR="00A6795D" w:rsidTr="00A6795D">
        <w:trPr>
          <w:trHeight w:val="381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Transmission system operator</w:t>
            </w:r>
          </w:p>
        </w:tc>
        <w:tc>
          <w:tcPr>
            <w:tcW w:w="4711" w:type="dxa"/>
          </w:tcPr>
          <w:p w:rsidR="00A6795D" w:rsidRDefault="00EC0A93">
            <w:r>
              <w:t>Оператор системы передачи электроэнергии</w:t>
            </w:r>
          </w:p>
        </w:tc>
      </w:tr>
      <w:tr w:rsidR="00A6795D" w:rsidTr="00A6795D">
        <w:trPr>
          <w:trHeight w:val="354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Ensure</w:t>
            </w:r>
          </w:p>
        </w:tc>
        <w:tc>
          <w:tcPr>
            <w:tcW w:w="4711" w:type="dxa"/>
          </w:tcPr>
          <w:p w:rsidR="00A6795D" w:rsidRDefault="00EC0A93">
            <w:r>
              <w:t>Обеспечивать</w:t>
            </w:r>
          </w:p>
        </w:tc>
      </w:tr>
      <w:tr w:rsidR="00A6795D" w:rsidTr="00A6795D">
        <w:trPr>
          <w:trHeight w:val="381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A key indicator</w:t>
            </w:r>
          </w:p>
        </w:tc>
        <w:tc>
          <w:tcPr>
            <w:tcW w:w="4711" w:type="dxa"/>
          </w:tcPr>
          <w:p w:rsidR="00A6795D" w:rsidRDefault="00EC0A93">
            <w:r>
              <w:t>Ключевой показатель</w:t>
            </w:r>
          </w:p>
        </w:tc>
      </w:tr>
      <w:tr w:rsidR="00A6795D" w:rsidTr="00A6795D">
        <w:trPr>
          <w:trHeight w:val="354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Acceptable boundaries</w:t>
            </w:r>
          </w:p>
        </w:tc>
        <w:tc>
          <w:tcPr>
            <w:tcW w:w="4711" w:type="dxa"/>
          </w:tcPr>
          <w:p w:rsidR="00A6795D" w:rsidRDefault="00EC0A93">
            <w:r>
              <w:t>Допустимый предел</w:t>
            </w:r>
          </w:p>
        </w:tc>
      </w:tr>
      <w:tr w:rsidR="00A6795D" w:rsidTr="00A6795D">
        <w:trPr>
          <w:trHeight w:val="381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Duty cycle</w:t>
            </w:r>
          </w:p>
        </w:tc>
        <w:tc>
          <w:tcPr>
            <w:tcW w:w="4711" w:type="dxa"/>
          </w:tcPr>
          <w:p w:rsidR="00A6795D" w:rsidRDefault="00EC0A93">
            <w:r>
              <w:t>Рабочий цикл, цикл работы</w:t>
            </w:r>
          </w:p>
        </w:tc>
      </w:tr>
      <w:tr w:rsidR="00A6795D" w:rsidTr="00A6795D">
        <w:trPr>
          <w:trHeight w:val="354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  <w:tc>
          <w:tcPr>
            <w:tcW w:w="4711" w:type="dxa"/>
          </w:tcPr>
          <w:p w:rsidR="00A6795D" w:rsidRDefault="00EC0A93">
            <w:r>
              <w:t>Количество</w:t>
            </w:r>
          </w:p>
        </w:tc>
      </w:tr>
      <w:tr w:rsidR="00A6795D" w:rsidTr="00A6795D">
        <w:trPr>
          <w:trHeight w:val="381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Immediate</w:t>
            </w:r>
          </w:p>
        </w:tc>
        <w:tc>
          <w:tcPr>
            <w:tcW w:w="4711" w:type="dxa"/>
          </w:tcPr>
          <w:p w:rsidR="00A6795D" w:rsidRDefault="00EC0A93">
            <w:r>
              <w:t>Незамедлительный, мгновенный</w:t>
            </w:r>
          </w:p>
        </w:tc>
      </w:tr>
      <w:tr w:rsidR="00A6795D" w:rsidTr="00A6795D">
        <w:trPr>
          <w:trHeight w:val="354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Inefficient</w:t>
            </w:r>
          </w:p>
        </w:tc>
        <w:tc>
          <w:tcPr>
            <w:tcW w:w="4711" w:type="dxa"/>
          </w:tcPr>
          <w:p w:rsidR="00A6795D" w:rsidRDefault="00EC0A93">
            <w:r>
              <w:t>Непроизводительный</w:t>
            </w:r>
          </w:p>
        </w:tc>
      </w:tr>
      <w:tr w:rsidR="00A6795D" w:rsidTr="00A6795D">
        <w:trPr>
          <w:trHeight w:val="381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Standby mode</w:t>
            </w:r>
          </w:p>
        </w:tc>
        <w:tc>
          <w:tcPr>
            <w:tcW w:w="4711" w:type="dxa"/>
          </w:tcPr>
          <w:p w:rsidR="00A6795D" w:rsidRDefault="00EC0A93">
            <w:r>
              <w:t>Режим ожидания</w:t>
            </w:r>
          </w:p>
        </w:tc>
      </w:tr>
      <w:tr w:rsidR="00A6795D" w:rsidTr="00A6795D">
        <w:trPr>
          <w:trHeight w:val="354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Major loss</w:t>
            </w:r>
          </w:p>
        </w:tc>
        <w:tc>
          <w:tcPr>
            <w:tcW w:w="4711" w:type="dxa"/>
          </w:tcPr>
          <w:p w:rsidR="00A6795D" w:rsidRDefault="00EC0A93">
            <w:r>
              <w:t>Серьезные потери</w:t>
            </w:r>
          </w:p>
        </w:tc>
      </w:tr>
      <w:tr w:rsidR="00A6795D" w:rsidTr="00A6795D">
        <w:trPr>
          <w:trHeight w:val="354"/>
        </w:trPr>
        <w:tc>
          <w:tcPr>
            <w:tcW w:w="4710" w:type="dxa"/>
          </w:tcPr>
          <w:p w:rsidR="00A6795D" w:rsidRP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Frequency response</w:t>
            </w:r>
          </w:p>
        </w:tc>
        <w:tc>
          <w:tcPr>
            <w:tcW w:w="4711" w:type="dxa"/>
          </w:tcPr>
          <w:p w:rsidR="00A6795D" w:rsidRDefault="00EC0A93">
            <w:r>
              <w:t>Частотная характеристика</w:t>
            </w:r>
          </w:p>
        </w:tc>
      </w:tr>
      <w:tr w:rsidR="00EC0A93" w:rsidTr="00A6795D">
        <w:trPr>
          <w:trHeight w:val="354"/>
        </w:trPr>
        <w:tc>
          <w:tcPr>
            <w:tcW w:w="4710" w:type="dxa"/>
          </w:tcPr>
          <w:p w:rsid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Per annum</w:t>
            </w:r>
          </w:p>
        </w:tc>
        <w:tc>
          <w:tcPr>
            <w:tcW w:w="4711" w:type="dxa"/>
          </w:tcPr>
          <w:p w:rsidR="00EC0A93" w:rsidRDefault="00EC0A93">
            <w:r>
              <w:t>Ежегодно</w:t>
            </w:r>
          </w:p>
        </w:tc>
      </w:tr>
      <w:tr w:rsidR="00EC0A93" w:rsidTr="00A6795D">
        <w:trPr>
          <w:trHeight w:val="354"/>
        </w:trPr>
        <w:tc>
          <w:tcPr>
            <w:tcW w:w="4710" w:type="dxa"/>
          </w:tcPr>
          <w:p w:rsid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Incandescent light bulb</w:t>
            </w:r>
          </w:p>
        </w:tc>
        <w:tc>
          <w:tcPr>
            <w:tcW w:w="4711" w:type="dxa"/>
          </w:tcPr>
          <w:p w:rsidR="00EC0A93" w:rsidRDefault="00EC0A93">
            <w:r>
              <w:t>Лампа накаливания</w:t>
            </w:r>
          </w:p>
        </w:tc>
      </w:tr>
      <w:tr w:rsidR="00EC0A93" w:rsidTr="00A6795D">
        <w:trPr>
          <w:trHeight w:val="354"/>
        </w:trPr>
        <w:tc>
          <w:tcPr>
            <w:tcW w:w="4710" w:type="dxa"/>
          </w:tcPr>
          <w:p w:rsid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Storage</w:t>
            </w:r>
          </w:p>
        </w:tc>
        <w:tc>
          <w:tcPr>
            <w:tcW w:w="4711" w:type="dxa"/>
          </w:tcPr>
          <w:p w:rsidR="00EC0A93" w:rsidRDefault="00EC0A93">
            <w:r>
              <w:t>Накопление</w:t>
            </w:r>
          </w:p>
        </w:tc>
      </w:tr>
      <w:tr w:rsidR="00EC0A93" w:rsidTr="00A6795D">
        <w:trPr>
          <w:trHeight w:val="354"/>
        </w:trPr>
        <w:tc>
          <w:tcPr>
            <w:tcW w:w="4710" w:type="dxa"/>
          </w:tcPr>
          <w:p w:rsid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Match</w:t>
            </w:r>
          </w:p>
        </w:tc>
        <w:tc>
          <w:tcPr>
            <w:tcW w:w="4711" w:type="dxa"/>
          </w:tcPr>
          <w:p w:rsidR="00EC0A93" w:rsidRDefault="00EC0A93">
            <w:r>
              <w:t>Согласовать</w:t>
            </w:r>
          </w:p>
        </w:tc>
      </w:tr>
      <w:tr w:rsidR="00EC0A93" w:rsidTr="00A6795D">
        <w:trPr>
          <w:trHeight w:val="354"/>
        </w:trPr>
        <w:tc>
          <w:tcPr>
            <w:tcW w:w="4710" w:type="dxa"/>
          </w:tcPr>
          <w:p w:rsid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exacerbate</w:t>
            </w:r>
          </w:p>
        </w:tc>
        <w:tc>
          <w:tcPr>
            <w:tcW w:w="4711" w:type="dxa"/>
          </w:tcPr>
          <w:p w:rsidR="00EC0A93" w:rsidRDefault="00EC0A93">
            <w:r>
              <w:t>Усугубляться</w:t>
            </w:r>
          </w:p>
        </w:tc>
      </w:tr>
      <w:tr w:rsidR="00EC0A93" w:rsidTr="00A6795D">
        <w:trPr>
          <w:trHeight w:val="354"/>
        </w:trPr>
        <w:tc>
          <w:tcPr>
            <w:tcW w:w="4710" w:type="dxa"/>
          </w:tcPr>
          <w:p w:rsid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Load rating</w:t>
            </w:r>
          </w:p>
        </w:tc>
        <w:tc>
          <w:tcPr>
            <w:tcW w:w="4711" w:type="dxa"/>
          </w:tcPr>
          <w:p w:rsidR="00EC0A93" w:rsidRDefault="00EC0A93">
            <w:r>
              <w:t>Номинальная нагрузка</w:t>
            </w:r>
          </w:p>
        </w:tc>
      </w:tr>
      <w:tr w:rsidR="00EC0A93" w:rsidTr="00A6795D">
        <w:trPr>
          <w:trHeight w:val="354"/>
        </w:trPr>
        <w:tc>
          <w:tcPr>
            <w:tcW w:w="4710" w:type="dxa"/>
          </w:tcPr>
          <w:p w:rsid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Overcast</w:t>
            </w:r>
          </w:p>
        </w:tc>
        <w:tc>
          <w:tcPr>
            <w:tcW w:w="4711" w:type="dxa"/>
          </w:tcPr>
          <w:p w:rsidR="00EC0A93" w:rsidRDefault="00EC0A93">
            <w:r>
              <w:t>Пасмурный</w:t>
            </w:r>
          </w:p>
        </w:tc>
      </w:tr>
      <w:tr w:rsidR="00EC0A93" w:rsidTr="00A6795D">
        <w:trPr>
          <w:trHeight w:val="354"/>
        </w:trPr>
        <w:tc>
          <w:tcPr>
            <w:tcW w:w="4710" w:type="dxa"/>
          </w:tcPr>
          <w:p w:rsid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Pump storage</w:t>
            </w:r>
          </w:p>
        </w:tc>
        <w:tc>
          <w:tcPr>
            <w:tcW w:w="4711" w:type="dxa"/>
          </w:tcPr>
          <w:p w:rsidR="00EC0A93" w:rsidRDefault="00EC0A93">
            <w:r>
              <w:t>Аккумулирующий бассейн</w:t>
            </w:r>
          </w:p>
        </w:tc>
      </w:tr>
      <w:tr w:rsidR="00EC0A93" w:rsidTr="00A6795D">
        <w:trPr>
          <w:trHeight w:val="354"/>
        </w:trPr>
        <w:tc>
          <w:tcPr>
            <w:tcW w:w="4710" w:type="dxa"/>
          </w:tcPr>
          <w:p w:rsid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Reservoir</w:t>
            </w:r>
          </w:p>
        </w:tc>
        <w:tc>
          <w:tcPr>
            <w:tcW w:w="4711" w:type="dxa"/>
          </w:tcPr>
          <w:p w:rsidR="00EC0A93" w:rsidRDefault="00EC0A93">
            <w:r>
              <w:t>Резервуар</w:t>
            </w:r>
          </w:p>
        </w:tc>
      </w:tr>
      <w:tr w:rsidR="00EC0A93" w:rsidTr="00A6795D">
        <w:trPr>
          <w:trHeight w:val="354"/>
        </w:trPr>
        <w:tc>
          <w:tcPr>
            <w:tcW w:w="4710" w:type="dxa"/>
          </w:tcPr>
          <w:p w:rsid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Abundant</w:t>
            </w:r>
          </w:p>
        </w:tc>
        <w:tc>
          <w:tcPr>
            <w:tcW w:w="4711" w:type="dxa"/>
          </w:tcPr>
          <w:p w:rsidR="00EC0A93" w:rsidRDefault="00D87541">
            <w:r>
              <w:t>Избыточный</w:t>
            </w:r>
          </w:p>
        </w:tc>
      </w:tr>
      <w:tr w:rsidR="00EC0A93" w:rsidTr="00A6795D">
        <w:trPr>
          <w:trHeight w:val="354"/>
        </w:trPr>
        <w:tc>
          <w:tcPr>
            <w:tcW w:w="4710" w:type="dxa"/>
          </w:tcPr>
          <w:p w:rsid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Facility</w:t>
            </w:r>
          </w:p>
        </w:tc>
        <w:tc>
          <w:tcPr>
            <w:tcW w:w="4711" w:type="dxa"/>
          </w:tcPr>
          <w:p w:rsidR="00EC0A93" w:rsidRDefault="00D87541">
            <w:r>
              <w:t>Установка</w:t>
            </w:r>
          </w:p>
        </w:tc>
      </w:tr>
      <w:tr w:rsidR="00EC0A93" w:rsidTr="00A6795D">
        <w:trPr>
          <w:trHeight w:val="354"/>
        </w:trPr>
        <w:tc>
          <w:tcPr>
            <w:tcW w:w="4710" w:type="dxa"/>
          </w:tcPr>
          <w:p w:rsid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Lifespan</w:t>
            </w:r>
          </w:p>
        </w:tc>
        <w:tc>
          <w:tcPr>
            <w:tcW w:w="4711" w:type="dxa"/>
          </w:tcPr>
          <w:p w:rsidR="00EC0A93" w:rsidRDefault="00D87541">
            <w:r>
              <w:t>Срок службы</w:t>
            </w:r>
          </w:p>
        </w:tc>
      </w:tr>
      <w:tr w:rsidR="00EC0A93" w:rsidTr="00A6795D">
        <w:trPr>
          <w:trHeight w:val="354"/>
        </w:trPr>
        <w:tc>
          <w:tcPr>
            <w:tcW w:w="4710" w:type="dxa"/>
          </w:tcPr>
          <w:p w:rsid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Flywheel</w:t>
            </w:r>
          </w:p>
        </w:tc>
        <w:tc>
          <w:tcPr>
            <w:tcW w:w="4711" w:type="dxa"/>
          </w:tcPr>
          <w:p w:rsidR="00EC0A93" w:rsidRDefault="00D87541">
            <w:r>
              <w:t>Маховик</w:t>
            </w:r>
          </w:p>
        </w:tc>
      </w:tr>
      <w:tr w:rsidR="00EC0A93" w:rsidTr="00A6795D">
        <w:trPr>
          <w:trHeight w:val="354"/>
        </w:trPr>
        <w:tc>
          <w:tcPr>
            <w:tcW w:w="4710" w:type="dxa"/>
          </w:tcPr>
          <w:p w:rsid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Superconducting coil</w:t>
            </w:r>
          </w:p>
        </w:tc>
        <w:tc>
          <w:tcPr>
            <w:tcW w:w="4711" w:type="dxa"/>
          </w:tcPr>
          <w:p w:rsidR="00EC0A93" w:rsidRDefault="00D87541">
            <w:r>
              <w:t>Сверхпроводящая катушка</w:t>
            </w:r>
          </w:p>
        </w:tc>
      </w:tr>
      <w:tr w:rsidR="00EC0A93" w:rsidTr="00A6795D">
        <w:trPr>
          <w:trHeight w:val="354"/>
        </w:trPr>
        <w:tc>
          <w:tcPr>
            <w:tcW w:w="4710" w:type="dxa"/>
          </w:tcPr>
          <w:p w:rsidR="00EC0A93" w:rsidRDefault="00EC0A93">
            <w:pPr>
              <w:rPr>
                <w:lang w:val="en-US"/>
              </w:rPr>
            </w:pPr>
            <w:r>
              <w:rPr>
                <w:lang w:val="en-US"/>
              </w:rPr>
              <w:t>boot</w:t>
            </w:r>
          </w:p>
        </w:tc>
        <w:tc>
          <w:tcPr>
            <w:tcW w:w="4711" w:type="dxa"/>
          </w:tcPr>
          <w:p w:rsidR="00EC0A93" w:rsidRDefault="00D87541">
            <w:r>
              <w:t>запускать</w:t>
            </w:r>
          </w:p>
        </w:tc>
      </w:tr>
    </w:tbl>
    <w:p w:rsidR="00EC0A93" w:rsidRPr="00EC0A93" w:rsidRDefault="00EC0A93">
      <w:pPr>
        <w:rPr>
          <w:lang w:val="en-US"/>
        </w:rPr>
      </w:pPr>
    </w:p>
    <w:sectPr w:rsidR="00EC0A93" w:rsidRPr="00EC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5D"/>
    <w:rsid w:val="00705627"/>
    <w:rsid w:val="00A6795D"/>
    <w:rsid w:val="00D87541"/>
    <w:rsid w:val="00EC0A93"/>
    <w:rsid w:val="00F3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01358-B42B-41BA-BE1B-36BDAD03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Аделина Радиковна</dc:creator>
  <cp:keywords/>
  <dc:description/>
  <cp:lastModifiedBy>User</cp:lastModifiedBy>
  <cp:revision>2</cp:revision>
  <dcterms:created xsi:type="dcterms:W3CDTF">2020-05-20T16:14:00Z</dcterms:created>
  <dcterms:modified xsi:type="dcterms:W3CDTF">2020-05-20T16:14:00Z</dcterms:modified>
</cp:coreProperties>
</file>