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470"/>
      </w:tblGrid>
      <w:tr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microgeneration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микрогенерация</w:t>
            </w: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микропроизводство</w:t>
            </w: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photo</w:t>
            </w: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voltaic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гальванический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boiler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котел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by-product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побочный продукт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возникать, появляться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set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устанавливать, настраивать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evenly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a8d08d"/>
                <w:sz w:val="24"/>
                <w:szCs w:val="24"/>
                <w:lang w:eastAsia="ru-RU"/>
              </w:rPr>
              <w:t>равномерно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interference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помеха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remotely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удаленно, дистанционно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обратное направление мощности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глянцевый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run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запускать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occur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происходить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flatten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сглаживать, выравнивать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peak</w:t>
            </w: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shaving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ограничение нагрузки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улучшенный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измерительный прибор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hub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a8d08d"/>
                <w:sz w:val="24"/>
                <w:szCs w:val="24"/>
                <w:lang w:eastAsia="ru-RU"/>
              </w:rPr>
              <w:t>сетевое устройство, к которому подключаются абонентские линии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burden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бремя, нагрузка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prevalent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распространённый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rollouts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 xml:space="preserve">массовый выпуск продвижение новой продукции на весь </w:t>
            </w: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рыной</w:t>
            </w: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 xml:space="preserve"> после успешных пробных попыток)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unbundling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разгруппирование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deployment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ввод в действие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pre-emptive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упреждающий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upcoming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предстоящий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continuously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непрерывн</w:t>
            </w:r>
            <w:bookmarkStart w:id="0" w:name="_GoBack"/>
            <w:bookmarkEnd w:id="0"/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о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spot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обнаружить</w:t>
            </w:r>
          </w:p>
        </w:tc>
      </w:tr>
      <w:tr>
        <w:tblPrEx/>
        <w:trPr/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overall</w:t>
            </w: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reliability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after="150" w:lineRule="auto" w:line="240"/>
              <w:jc w:val="center"/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cs="Helvetica" w:eastAsia="Times New Roman" w:hAnsi="Helvetica"/>
                <w:color w:val="333333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284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Helvetica">
    <w:altName w:val="Helvetica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106</Words>
  <Pages>1</Pages>
  <Characters>894</Characters>
  <Application>WPS Office</Application>
  <DocSecurity>0</DocSecurity>
  <Paragraphs>89</Paragraphs>
  <ScaleCrop>false</ScaleCrop>
  <LinksUpToDate>false</LinksUpToDate>
  <CharactersWithSpaces>942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2020-05-27T15:56:17Z</dcterms:created>
  <dc:creator>Дмитрий</dc:creator>
  <lastModifiedBy>Redmi Note 5</lastModifiedBy>
  <dcterms:modified xsi:type="dcterms:W3CDTF">2020-05-27T15:56:17Z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