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F2" w:rsidRPr="00EC13F2" w:rsidRDefault="00EC13F2" w:rsidP="00EC13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EC13F2">
        <w:rPr>
          <w:rFonts w:ascii="Times New Roman" w:hAnsi="Times New Roman" w:cs="Times New Roman"/>
          <w:sz w:val="27"/>
          <w:szCs w:val="27"/>
        </w:rPr>
        <w:fldChar w:fldCharType="begin"/>
      </w:r>
      <w:r w:rsidRPr="00EC13F2">
        <w:rPr>
          <w:rFonts w:ascii="Times New Roman" w:hAnsi="Times New Roman" w:cs="Times New Roman"/>
          <w:sz w:val="27"/>
          <w:szCs w:val="27"/>
        </w:rPr>
        <w:instrText xml:space="preserve"> HYPERLINK "https://minobrnauki.gov.ru/" \t "_blank" </w:instrText>
      </w:r>
      <w:r w:rsidRPr="00EC13F2">
        <w:rPr>
          <w:rFonts w:ascii="Times New Roman" w:hAnsi="Times New Roman" w:cs="Times New Roman"/>
          <w:sz w:val="27"/>
          <w:szCs w:val="27"/>
        </w:rPr>
        <w:fldChar w:fldCharType="separate"/>
      </w:r>
      <w:r w:rsidRPr="00EC13F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Министерство науки и высшего образования Российской Федерации</w:t>
      </w:r>
      <w:r w:rsidRPr="00EC13F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fldChar w:fldCharType="end"/>
      </w:r>
    </w:p>
    <w:p w:rsidR="00EC13F2" w:rsidRPr="002401FB" w:rsidRDefault="00EC13F2" w:rsidP="00EC13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401F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C13F2" w:rsidRPr="002401FB" w:rsidRDefault="00EC13F2" w:rsidP="00EC13F2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401F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C13F2" w:rsidRPr="002401FB" w:rsidRDefault="00EC13F2" w:rsidP="00EC13F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«Казанский государственный энергетический университет»</w:t>
      </w: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Институт цифровых технологий и экономики</w:t>
      </w: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«Экономика и организация производства»</w:t>
      </w: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РЕФЕРАТ</w:t>
      </w: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по дисциплине «Модели экономического роста»</w:t>
      </w: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тему «Комплекс Нефтехимических и Нефтеперерабатывающих произво</w:t>
      </w:r>
      <w:proofErr w:type="gramStart"/>
      <w:r>
        <w:rPr>
          <w:color w:val="000000"/>
          <w:sz w:val="27"/>
          <w:szCs w:val="27"/>
        </w:rPr>
        <w:t>дств в г</w:t>
      </w:r>
      <w:proofErr w:type="gramEnd"/>
      <w:r>
        <w:rPr>
          <w:color w:val="000000"/>
          <w:sz w:val="27"/>
          <w:szCs w:val="27"/>
        </w:rPr>
        <w:t>ороде Нижнекамске «ТАНЕКО»»</w:t>
      </w: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</w:p>
    <w:p w:rsidR="00EC13F2" w:rsidRDefault="00EC13F2" w:rsidP="00EC13F2">
      <w:pPr>
        <w:pStyle w:val="a3"/>
        <w:jc w:val="center"/>
        <w:rPr>
          <w:color w:val="000000"/>
          <w:sz w:val="27"/>
          <w:szCs w:val="27"/>
        </w:rPr>
      </w:pPr>
    </w:p>
    <w:p w:rsidR="00EC13F2" w:rsidRDefault="00EC13F2" w:rsidP="00EC13F2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Выполнила:</w:t>
      </w:r>
    </w:p>
    <w:p w:rsidR="00EC13F2" w:rsidRDefault="00EC13F2" w:rsidP="00EC13F2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студентка группы ЭКП-3-18</w:t>
      </w:r>
    </w:p>
    <w:p w:rsidR="00EC13F2" w:rsidRDefault="00EC13F2" w:rsidP="00EC13F2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очной формы обучения</w:t>
      </w:r>
    </w:p>
    <w:p w:rsidR="00EC13F2" w:rsidRDefault="00EC13F2" w:rsidP="00EC13F2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факультета ИЦТЭ</w:t>
      </w:r>
    </w:p>
    <w:p w:rsidR="00EC13F2" w:rsidRDefault="00EC13F2" w:rsidP="00EC13F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Салихова Л.Ф.</w:t>
      </w:r>
    </w:p>
    <w:p w:rsidR="00EC13F2" w:rsidRDefault="00EC13F2" w:rsidP="00EC13F2">
      <w:pPr>
        <w:pStyle w:val="a3"/>
        <w:jc w:val="center"/>
        <w:rPr>
          <w:sz w:val="32"/>
          <w:szCs w:val="32"/>
        </w:rPr>
      </w:pPr>
    </w:p>
    <w:p w:rsidR="00EC13F2" w:rsidRDefault="00EC13F2" w:rsidP="00EC13F2">
      <w:pPr>
        <w:pStyle w:val="a3"/>
        <w:jc w:val="center"/>
        <w:rPr>
          <w:sz w:val="32"/>
          <w:szCs w:val="32"/>
        </w:rPr>
      </w:pPr>
    </w:p>
    <w:p w:rsidR="00EC13F2" w:rsidRDefault="00EC13F2" w:rsidP="00EC13F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13F2" w:rsidRPr="00EC13F2" w:rsidRDefault="00EC13F2" w:rsidP="00EC13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13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EC13F2" w:rsidRPr="00EC13F2" w:rsidRDefault="00EC13F2" w:rsidP="00EC13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13F2">
        <w:rPr>
          <w:rFonts w:ascii="Times New Roman" w:hAnsi="Times New Roman" w:cs="Times New Roman"/>
          <w:sz w:val="28"/>
          <w:szCs w:val="28"/>
        </w:rPr>
        <w:t>Введение</w:t>
      </w:r>
    </w:p>
    <w:p w:rsidR="00EC13F2" w:rsidRDefault="00EC13F2" w:rsidP="00EC13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ОАО «ТАНЕКО»</w:t>
      </w:r>
    </w:p>
    <w:p w:rsidR="00EC13F2" w:rsidRDefault="00EC13F2" w:rsidP="00EC13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перспектив развития Комплекса нефтеперерабатывающих заводов ОАО «ТАНЕКО»</w:t>
      </w:r>
    </w:p>
    <w:p w:rsidR="00EC13F2" w:rsidRDefault="00EC13F2" w:rsidP="00EC13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политика «ТАНЕКО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инвестиции в будущее</w:t>
      </w:r>
    </w:p>
    <w:p w:rsidR="00B92D35" w:rsidRDefault="00B92D35" w:rsidP="00EC13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показатели и статистика</w:t>
      </w:r>
    </w:p>
    <w:p w:rsidR="00B92D35" w:rsidRDefault="00B92D35" w:rsidP="00EC13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EC13F2" w:rsidRPr="00B92D35" w:rsidRDefault="00EC13F2" w:rsidP="00B92D35">
      <w:pPr>
        <w:rPr>
          <w:rFonts w:ascii="Times New Roman" w:hAnsi="Times New Roman" w:cs="Times New Roman"/>
          <w:sz w:val="28"/>
          <w:szCs w:val="28"/>
        </w:rPr>
      </w:pPr>
    </w:p>
    <w:p w:rsidR="00EC13F2" w:rsidRPr="00EC13F2" w:rsidRDefault="00EC13F2" w:rsidP="00EC13F2">
      <w:pPr>
        <w:pStyle w:val="paragraph"/>
        <w:spacing w:before="0" w:beforeAutospacing="0" w:after="0" w:afterAutospacing="0"/>
        <w:ind w:left="369"/>
        <w:textAlignment w:val="baseline"/>
        <w:rPr>
          <w:rFonts w:ascii="Arial" w:hAnsi="Arial" w:cs="Arial"/>
          <w:sz w:val="33"/>
          <w:szCs w:val="33"/>
        </w:rPr>
      </w:pPr>
      <w:r w:rsidRPr="00EC13F2">
        <w:rPr>
          <w:rStyle w:val="normaltextrun"/>
          <w:rFonts w:ascii="Tw Cen MT" w:hAnsi="Tw Cen MT" w:cs="Arial"/>
          <w:color w:val="FFFFFF"/>
          <w:position w:val="-1"/>
          <w:sz w:val="28"/>
          <w:szCs w:val="28"/>
        </w:rPr>
        <w:t xml:space="preserve">. </w:t>
      </w:r>
      <w:r w:rsidRPr="00EC13F2">
        <w:rPr>
          <w:rStyle w:val="normaltextrun"/>
          <w:rFonts w:ascii="Arial" w:hAnsi="Arial" w:cs="Arial"/>
          <w:color w:val="FFFFFF"/>
          <w:position w:val="-1"/>
          <w:sz w:val="28"/>
          <w:szCs w:val="28"/>
        </w:rPr>
        <w:t>Общие</w:t>
      </w:r>
      <w:r w:rsidRPr="00EC13F2">
        <w:rPr>
          <w:rStyle w:val="normaltextrun"/>
          <w:rFonts w:ascii="Tw Cen MT" w:hAnsi="Tw Cen MT" w:cs="Arial"/>
          <w:color w:val="FFFFFF"/>
          <w:position w:val="-1"/>
          <w:sz w:val="28"/>
          <w:szCs w:val="28"/>
        </w:rPr>
        <w:t xml:space="preserve"> </w:t>
      </w:r>
      <w:r w:rsidRPr="00EC13F2">
        <w:rPr>
          <w:rStyle w:val="normaltextrun"/>
          <w:rFonts w:ascii="Arial" w:hAnsi="Arial" w:cs="Arial"/>
          <w:color w:val="FFFFFF"/>
          <w:position w:val="-1"/>
          <w:sz w:val="28"/>
          <w:szCs w:val="28"/>
        </w:rPr>
        <w:t>сведения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об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ОАО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Tw Cen MT" w:hAnsi="Tw Cen MT" w:cs="Tw Cen MT"/>
          <w:color w:val="FFFFFF"/>
          <w:position w:val="-1"/>
          <w:sz w:val="41"/>
          <w:szCs w:val="41"/>
        </w:rPr>
        <w:t>«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ТАНЕКО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>»</w:t>
      </w:r>
      <w:r w:rsidRPr="00EC13F2">
        <w:rPr>
          <w:rStyle w:val="scxp40527031"/>
          <w:rFonts w:ascii="Arial" w:hAnsi="Arial" w:cs="Arial"/>
          <w:sz w:val="41"/>
          <w:szCs w:val="41"/>
        </w:rPr>
        <w:t>​</w:t>
      </w:r>
      <w:r w:rsidRPr="00EC13F2">
        <w:rPr>
          <w:rFonts w:ascii="Tw Cen MT" w:hAnsi="Tw Cen MT" w:cs="Arial"/>
          <w:sz w:val="41"/>
          <w:szCs w:val="41"/>
        </w:rPr>
        <w:br/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2.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Оценка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перспектив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развития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Комплекса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нефтеперерабатывающих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заводов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ОАО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> «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ТАНЕКО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>»</w:t>
      </w:r>
      <w:r w:rsidRPr="00EC13F2">
        <w:rPr>
          <w:rStyle w:val="scxp40527031"/>
          <w:rFonts w:ascii="Arial" w:hAnsi="Arial" w:cs="Arial"/>
          <w:sz w:val="41"/>
          <w:szCs w:val="41"/>
        </w:rPr>
        <w:t>​</w:t>
      </w:r>
      <w:r w:rsidRPr="00EC13F2">
        <w:rPr>
          <w:rFonts w:ascii="Tw Cen MT" w:hAnsi="Tw Cen MT" w:cs="Arial"/>
          <w:sz w:val="41"/>
          <w:szCs w:val="41"/>
        </w:rPr>
        <w:br/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3.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Экологическая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политика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ТАНЕКО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Tw Cen MT" w:hAnsi="Tw Cen MT" w:cs="Tw Cen MT"/>
          <w:color w:val="FFFFFF"/>
          <w:position w:val="-1"/>
          <w:sz w:val="41"/>
          <w:szCs w:val="41"/>
        </w:rPr>
        <w:t>—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инвестиции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в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будущее</w:t>
      </w:r>
      <w:r w:rsidRPr="00EC13F2">
        <w:rPr>
          <w:rStyle w:val="scxp40527031"/>
          <w:rFonts w:ascii="Arial" w:hAnsi="Arial" w:cs="Arial"/>
          <w:sz w:val="41"/>
          <w:szCs w:val="41"/>
        </w:rPr>
        <w:t>​</w:t>
      </w:r>
      <w:r w:rsidRPr="00EC13F2">
        <w:rPr>
          <w:rFonts w:ascii="Tw Cen MT" w:hAnsi="Tw Cen MT" w:cs="Arial"/>
          <w:sz w:val="41"/>
          <w:szCs w:val="41"/>
        </w:rPr>
        <w:br/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4.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Производственные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показатели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и</w:t>
      </w:r>
      <w:r>
        <w:rPr>
          <w:rStyle w:val="normaltextrun"/>
          <w:rFonts w:ascii="Tw Cen MT" w:hAnsi="Tw Cen MT" w:cs="Arial"/>
          <w:color w:val="FFFFFF"/>
          <w:position w:val="-1"/>
          <w:sz w:val="41"/>
          <w:szCs w:val="41"/>
        </w:rPr>
        <w:t xml:space="preserve"> </w:t>
      </w:r>
      <w:r>
        <w:rPr>
          <w:rStyle w:val="normaltextrun"/>
          <w:rFonts w:ascii="Arial" w:hAnsi="Arial" w:cs="Arial"/>
          <w:color w:val="FFFFFF"/>
          <w:position w:val="-1"/>
          <w:sz w:val="41"/>
          <w:szCs w:val="41"/>
        </w:rPr>
        <w:t>статистика</w:t>
      </w:r>
      <w:r w:rsidRPr="00EC13F2">
        <w:rPr>
          <w:rStyle w:val="eop"/>
          <w:rFonts w:ascii="Arial" w:hAnsi="Arial" w:cs="Arial"/>
          <w:sz w:val="41"/>
          <w:szCs w:val="41"/>
        </w:rPr>
        <w:t>​</w:t>
      </w:r>
    </w:p>
    <w:p w:rsidR="00CE21CD" w:rsidRDefault="00CE21CD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Default="00B92D35"/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lastRenderedPageBreak/>
        <w:t>Введение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России к рыночным условиям хозяйствования изменил роль и место региона в системе современных социально-экономических отношений. И сегодня регион рассматривается в качестве целостной системы, ориентированной на развитие в значительной степени за счет собственных ресурсов. В этих условиях повышается актуальность формирования эффективной системы регионального управления, обеспечивающей достижение баланса экономических и социальных целей общественного развития.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этой комплексной задачи выдвигает высокие требования к анализу финансово-хозяйственной деятельности промышленных предприятий — ключевого звена экономики, определяющего базу социально-экономического развития региона. Соответственно возрастает роль научного поиска в области разработки социально-экономической эффективности строительства регионального промышленного комплекса. Необходимо формирование системы критериев и показателей, отражающей как экономические, так и социальные результаты деятельности предприятий, адекватной условиям переходного периода развития российской экономики и учитывающей особенности региональной социально-экономической политики.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в Республике Татарстан эффективно реализуются различные функции управления региональным развитием, включая мониторинг и анализ социально-экономических процессов в промышленности. Тем не менее, в этой области по-прежнему востребованы новые инструменты и методики, позволяющие, не нарушая выстроенной логики преобразований. Большое развитие на сегодняшний день получают предприятия Нижнекамского муниципального района.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Общие сведения об ОАО «ТАНЕКО»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ОАО «ТАНЕКО» берет свое начало в конце 90-х годов прошлого столетия. В августе1997 г. Кабинет Министров РТ принял постановление «О создании ОАО «Нижнекамский нефтеперерабатывающий завод», которое было зарегистрировано 30 декабря того же года.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ОАО «</w:t>
      </w:r>
      <w:proofErr w:type="gram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Нижнекамский</w:t>
      </w:r>
      <w:proofErr w:type="gram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НПЗ» обусловила необходимость развития в Татарстане новой отрасли промышленности – современной нефтепереработки. </w:t>
      </w:r>
      <w:proofErr w:type="gram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Благодаря титаническим усилиям команды единомышленников во главе с генеральным директором </w:t>
      </w:r>
      <w:proofErr w:type="spell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Хамзой</w:t>
      </w:r>
      <w:proofErr w:type="spell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Багмановым</w:t>
      </w:r>
      <w:proofErr w:type="spell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 всесторонней поддержке руководства Республики Татарстан и компании ОАО «Татнефть», ОАО «Нижнекамскнефтехим» и других акционеров поставленная задача была выполнена – в декабре 2002 года Базовый комплекс ННПЗ, ориентированный на переработку высокосернистых </w:t>
      </w:r>
      <w:proofErr w:type="spell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нефтей</w:t>
      </w:r>
      <w:proofErr w:type="spell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объеме 7 млн. тонн в год введен в эксплуатацию.</w:t>
      </w:r>
      <w:proofErr w:type="gram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его состав вошли: модернизированная установка ЭЛОУ-АВТ-7, битумная установка, установка </w:t>
      </w:r>
      <w:proofErr w:type="spell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висбрекинга</w:t>
      </w:r>
      <w:proofErr w:type="spell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гудрона и комплекс гидроочистки средних дистиллятов. Таким образом, в Татарстане оказалось восполненным недостающее звено в цепи «нефтедобыча-нефтехимия».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2005 году правительство республики поставило перед коллективом компании более масштабную задачу – строительство Комплекса нефтеперерабатывающих и нефтехимических заводов, аналогов которому не существует в России и в СНГ. Коллектив ОАО «Нижнекамский НПЗ» прекратил производственную деятельность, было образовано </w:t>
      </w: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ЗАО «Нижнекамский НПЗ». В июне 2007 года Закрытое акционерное общество «Нижнекамский нефтеперерабатывающий завод» изменило свое фирменное наименование на Открытое акционерное общество «ТАНЕКО» (</w:t>
      </w:r>
      <w:proofErr w:type="spell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ТАтарстанский</w:t>
      </w:r>
      <w:proofErr w:type="spell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НЕфтеперерабатывающий</w:t>
      </w:r>
      <w:proofErr w:type="spell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</w:t>
      </w:r>
      <w:proofErr w:type="spell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ОАО «ТАНЕКО» – социально-ориентированное динамично развивающиеся предприятие, нацеленное на усиление долгосрочных конкурентных позиций и повышение прибыльности бизнеса на основе безопасного производства. Миссия предприятия — обеспечение высокотехнологичной, эффективной и </w:t>
      </w:r>
      <w:proofErr w:type="spell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экологичной</w:t>
      </w:r>
      <w:proofErr w:type="spell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переработки нефти и выпуск конкурентоспособной ликвидной продукции в рамках укрепления вертикальной интеграции Группы компаний «Татнефть». ОАО «ТАНЕКО» выступает заказчиком строительства в г. Нижнекамске «Комплекса нефтеперерабатывающих и нефтехимических заводов». Главным координатором строительства Комплекса, согласно решению Совета безопасности Республики Татарстан, определена компания «Татнефть».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Оценка перспектив развития Комплекса нефтеперерабатывающих заводов ОАО «ТАНЕКО»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Осенью 2009 года Правительством РТ был одобрен обновленный бизнес-план проекта, предполагающий удвоение производственной мощности комплекса (с 7 млн. тонн переработанной нефти в год до 14 млн. тонн) и, одновременно, сокращение ассортимента продукции в сторону более простых продуктов – </w:t>
      </w:r>
      <w:proofErr w:type="spell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нафты</w:t>
      </w:r>
      <w:proofErr w:type="spell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реактивного топлива, дизельного топлива. То есть новый бизнес-план предполагает снижение глубины переработки татарстанской нефти, снижение общего уровня </w:t>
      </w:r>
      <w:proofErr w:type="spell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инновационности</w:t>
      </w:r>
      <w:proofErr w:type="spell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данного проекта. Ранее власти Татарстана рассматривали вопрос строительства в Татарстане еще одного НПЗ мощностью 5-7 млн. тонн нефти в год — исключительно для нужд малых нефтяных компаний. Однако в условиях кризиса </w:t>
      </w:r>
      <w:proofErr w:type="gram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правительстве</w:t>
      </w:r>
      <w:proofErr w:type="gram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посчитали, что увеличение мощностей «ТАНЕКО» экономически выгоднее строительства второго нефтеперерабатывающего завода, инвестор на который так и не был найден. Так, производство автомобильных бензинов при увеличении переработки нефти до 14 млн. тонн в год возрастет незначительно – с 850 до 900 тыс. т. в год. Объемы производства ароматических углеводородов и нефтехимических продуктов на рассматриваемой стадии новой концепции комплекса не увеличатся. При этом увеличение объемов переработки на предприятии высокосернистой нефти РТ до 14 млн. т. в год приведет к значительному, в разы, увеличению выработки крупнотоннажных нефтепродуктов. Таким образом, увеличение объема переработки высокосернистой нефти на комплексе ОАО «ТАНЕКО» будет сопровождаться, прежде всего, увеличением выработки продуктов, дефицитных в настоящее время и в среднесрочной перспективе на европейском рынке.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Экологическая политика ТАНЕКО — инвестиции в будущее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Охрана окружающей среды является одним из главных приоритетов при строительстве Комплекса нефтеперерабатывающих и нефтехимических заводов «ТАНЕКО». ОАО «ТАНЕКО» было удостоено Национальной экологической премии в 2009 году. На сегодняшний день в РФ это единственная награда, которая вручается социально-ответственным компаниям, разрабатывающим и внедряющим экологические и энергосберегающие технологии. О престижности Премии красноречиво говорит тот факт, что ее учредителями являются Совет Федерации России, Государственная Дума и Фонд имени академика </w:t>
      </w:r>
      <w:proofErr w:type="spellStart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В.И.Вернадского</w:t>
      </w:r>
      <w:proofErr w:type="spellEnd"/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в состав жюри входят ученые мирового уровня. Шестой раз проводится конкурс, и все эти годы десятки министерств, ведомств, отдельных </w:t>
      </w: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областей, городов, промышленных предприятий, научно-исследовательских институтов, образовательных учреждений борются за звание победителей. Только в 2009 году на рассмотрение комиссии поступило 162 заявки. Все они отличались серьезным уровнем подготовки, но членам жюри предстояло определить лишь наиболее перспективные разработки в области ресурсосбережения, чистых производств, экологического образования, просвещения и социальных инициатив. В номинации «Экология города» наряду с Нижнекамским Комплексом нефтеперерабатывающих и нефтехимических заводов свои проекты представили еще более двадцати участников. В их числе были такие серьезные конкуренты, как правительство Белгородской области, Московский государственный университет имени Ломоносова, Министерство сельского хозяйства и продовольствия Омской области, Департамент природных ресурсов и охраны окружающей среды Томской области. Но даже многие из тех, кто претендовал на победу в других восьми номинациях, проявили большой интерес к разработке специалистов ТАНЕКО «Проект единой санитарно-защитной зоны Нижнекамского промышленного узла».</w:t>
      </w:r>
    </w:p>
    <w:p w:rsid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Производственные показатели и статистика</w:t>
      </w:r>
    </w:p>
    <w:p w:rsidR="00B92D35" w:rsidRPr="00B92D35" w:rsidRDefault="00B92D35" w:rsidP="00B92D35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B92D35">
        <w:rPr>
          <w:rStyle w:val="normaltextrun"/>
          <w:color w:val="0D0D0D"/>
          <w:sz w:val="27"/>
          <w:szCs w:val="27"/>
        </w:rPr>
        <w:t>В декабре 2019 г. Комплексом нефтеперерабатывающих и нефтехимических заводов ТАНЕКО переработано 1004,6 тыс. т сырья, с начала 2019 г. – 10 794,5 тыс. т.</w:t>
      </w:r>
      <w:r w:rsidRPr="00B92D35">
        <w:rPr>
          <w:rStyle w:val="scxp245863759"/>
          <w:sz w:val="27"/>
          <w:szCs w:val="27"/>
        </w:rPr>
        <w:t>​</w:t>
      </w:r>
      <w:r w:rsidRPr="00B92D35">
        <w:rPr>
          <w:sz w:val="27"/>
          <w:szCs w:val="27"/>
        </w:rPr>
        <w:br/>
      </w:r>
      <w:r w:rsidRPr="00B92D35">
        <w:rPr>
          <w:rStyle w:val="scxp245863759"/>
          <w:sz w:val="27"/>
          <w:szCs w:val="27"/>
        </w:rPr>
        <w:t>​</w:t>
      </w:r>
      <w:r w:rsidRPr="00B92D35">
        <w:rPr>
          <w:sz w:val="27"/>
          <w:szCs w:val="27"/>
        </w:rPr>
        <w:br/>
      </w:r>
      <w:r w:rsidRPr="00B92D35">
        <w:rPr>
          <w:rStyle w:val="normaltextrun"/>
          <w:color w:val="0D0D0D"/>
          <w:sz w:val="27"/>
          <w:szCs w:val="27"/>
        </w:rPr>
        <w:t>В декабре 2019 г. переработано 965,4 тыс. т </w:t>
      </w:r>
      <w:proofErr w:type="spellStart"/>
      <w:r w:rsidRPr="00B92D35">
        <w:rPr>
          <w:rStyle w:val="spellingerror"/>
          <w:color w:val="0D0D0D"/>
          <w:sz w:val="27"/>
          <w:szCs w:val="27"/>
        </w:rPr>
        <w:t>нефтесырья</w:t>
      </w:r>
      <w:proofErr w:type="spellEnd"/>
      <w:r w:rsidRPr="00B92D35">
        <w:rPr>
          <w:rStyle w:val="normaltextrun"/>
          <w:color w:val="0D0D0D"/>
          <w:sz w:val="27"/>
          <w:szCs w:val="27"/>
        </w:rPr>
        <w:t>.</w:t>
      </w:r>
      <w:r w:rsidRPr="00B92D35">
        <w:rPr>
          <w:rStyle w:val="scxp245863759"/>
          <w:sz w:val="27"/>
          <w:szCs w:val="27"/>
        </w:rPr>
        <w:t>​</w:t>
      </w:r>
      <w:r w:rsidRPr="00B92D35">
        <w:rPr>
          <w:sz w:val="27"/>
          <w:szCs w:val="27"/>
        </w:rPr>
        <w:br/>
      </w:r>
      <w:proofErr w:type="gramStart"/>
      <w:r w:rsidRPr="00B92D35">
        <w:rPr>
          <w:rStyle w:val="normaltextrun"/>
          <w:color w:val="0D0D0D"/>
          <w:sz w:val="27"/>
          <w:szCs w:val="27"/>
        </w:rPr>
        <w:t>С начала 2020 г. – 10 060,1 тыс. т.</w:t>
      </w:r>
      <w:r w:rsidRPr="00B92D35">
        <w:rPr>
          <w:rStyle w:val="scxp245863759"/>
          <w:sz w:val="27"/>
          <w:szCs w:val="27"/>
        </w:rPr>
        <w:t>​</w:t>
      </w:r>
      <w:r w:rsidRPr="00B92D35">
        <w:rPr>
          <w:sz w:val="27"/>
          <w:szCs w:val="27"/>
        </w:rPr>
        <w:br/>
      </w:r>
      <w:r w:rsidRPr="00B92D35">
        <w:rPr>
          <w:rStyle w:val="scxp245863759"/>
          <w:sz w:val="27"/>
          <w:szCs w:val="27"/>
        </w:rPr>
        <w:t>​</w:t>
      </w:r>
      <w:r w:rsidRPr="00B92D35">
        <w:rPr>
          <w:sz w:val="27"/>
          <w:szCs w:val="27"/>
        </w:rPr>
        <w:br/>
      </w:r>
      <w:r w:rsidRPr="00B92D35">
        <w:rPr>
          <w:rStyle w:val="normaltextrun"/>
          <w:color w:val="0D0D0D"/>
          <w:sz w:val="27"/>
          <w:szCs w:val="27"/>
        </w:rPr>
        <w:t xml:space="preserve">В декабре 2019 г. произведено 944,5 тыс. т нефтепродуктов, с начала 2020 г. – 10097,6 тыс. т, в </w:t>
      </w:r>
      <w:proofErr w:type="spellStart"/>
      <w:r w:rsidRPr="00B92D35">
        <w:rPr>
          <w:rStyle w:val="normaltextrun"/>
          <w:color w:val="0D0D0D"/>
          <w:sz w:val="27"/>
          <w:szCs w:val="27"/>
        </w:rPr>
        <w:t>т.ч</w:t>
      </w:r>
      <w:proofErr w:type="spellEnd"/>
      <w:r w:rsidRPr="00B92D35">
        <w:rPr>
          <w:rStyle w:val="normaltextrun"/>
          <w:color w:val="0D0D0D"/>
          <w:sz w:val="27"/>
          <w:szCs w:val="27"/>
        </w:rPr>
        <w:t>.:</w:t>
      </w:r>
      <w:r w:rsidRPr="00B92D35">
        <w:rPr>
          <w:rStyle w:val="scxp245863759"/>
          <w:sz w:val="27"/>
          <w:szCs w:val="27"/>
        </w:rPr>
        <w:t>​</w:t>
      </w:r>
      <w:r w:rsidRPr="00B92D35">
        <w:rPr>
          <w:sz w:val="27"/>
          <w:szCs w:val="27"/>
        </w:rPr>
        <w:br/>
      </w:r>
      <w:proofErr w:type="spellStart"/>
      <w:r w:rsidRPr="00B92D35">
        <w:rPr>
          <w:rStyle w:val="spellingerror"/>
          <w:color w:val="0D0D0D"/>
          <w:sz w:val="27"/>
          <w:szCs w:val="27"/>
        </w:rPr>
        <w:t>автобензинов</w:t>
      </w:r>
      <w:proofErr w:type="spellEnd"/>
      <w:r w:rsidRPr="00B92D35">
        <w:rPr>
          <w:rStyle w:val="normaltextrun"/>
          <w:color w:val="0D0D0D"/>
          <w:sz w:val="27"/>
          <w:szCs w:val="27"/>
        </w:rPr>
        <w:t> в декабре 2019 г. произведено 101,2 тыс. т, с начала 2020 г. – 1128,3 тыс. т.;</w:t>
      </w:r>
      <w:r w:rsidRPr="00B92D35">
        <w:rPr>
          <w:rStyle w:val="eop"/>
          <w:sz w:val="27"/>
          <w:szCs w:val="27"/>
        </w:rPr>
        <w:t>​</w:t>
      </w:r>
      <w:proofErr w:type="gramEnd"/>
    </w:p>
    <w:p w:rsidR="00B92D35" w:rsidRPr="00B92D35" w:rsidRDefault="00B92D35" w:rsidP="00B92D35">
      <w:pPr>
        <w:pStyle w:val="paragraph"/>
        <w:spacing w:before="0" w:beforeAutospacing="0" w:after="0" w:afterAutospacing="0"/>
        <w:textAlignment w:val="baseline"/>
        <w:rPr>
          <w:sz w:val="27"/>
          <w:szCs w:val="27"/>
          <w:lang w:val="en-US"/>
        </w:rPr>
      </w:pPr>
      <w:bookmarkStart w:id="0" w:name="_GoBack"/>
      <w:bookmarkEnd w:id="0"/>
      <w:r w:rsidRPr="00B92D35">
        <w:rPr>
          <w:rStyle w:val="normaltextrun"/>
          <w:color w:val="0D0D0D"/>
          <w:sz w:val="27"/>
          <w:szCs w:val="27"/>
        </w:rPr>
        <w:t>дизельного топлива - 313,9 тыс. т, с начала 2020 г. – 3662,05 тыс. т.</w:t>
      </w:r>
      <w:r w:rsidRPr="00B92D35">
        <w:rPr>
          <w:rStyle w:val="eop"/>
          <w:sz w:val="27"/>
          <w:szCs w:val="27"/>
        </w:rPr>
        <w:t>​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Заключение</w:t>
      </w:r>
    </w:p>
    <w:p w:rsidR="00B92D35" w:rsidRPr="00B92D35" w:rsidRDefault="00B92D35" w:rsidP="00B9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Целью строительства нефтехимического комплекса ТАНЕКО является необходимость обеспечения потребности промышленности Республики Татарстан в топливно-энергетических ресурсах и нефтехимических продуктах на основе имеющегося в республике углеводородного сырья. В процессе проектирования Комплекса нефтеперерабатывающих и нефтехимических заводов предусмотрены природоохранные мероприятия, позволяющие ограничить воздействие эксплуатируемого Комплекса на окружающую природную среду. В процессе работы над планом строительства Комплекса НП и НХЗ были предложены мероприятия по снижению негативного воздействия на компоненты окружающей природной среды, разработана программа организации производственного контроля и экологического мониторинга в районе размещения комплекса нефтеперерабатывающих и нефтехимических заводов, выполнена эколого-экономическая оценка величины предотвращенного экологического ущерба. Основные направления формирования и поддержки нефтехимической отрасли Нижнекамского муниципального района следующие: - повышение инвестиционной привлекательности региона; - увеличение добавленной стоимости, создаваемой перерабатывающими предприятиями; - увеличение инновационной активности предприятий. Деятельность ОАО «ТАНЕКО» будет способствовать дальнейшему укреплению экономического потенциала Республики Татарстан и Российской Федерации в целом. Реализация проекта позволит отработать механизмы стимулирования инновационной деятельности и внедрения новых технологий с масштабным экономическим </w:t>
      </w:r>
      <w:r w:rsidRPr="00B92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эффектом, даст импульс развитию отраслевой науки, проектных организаций, стимулирует работу предприятий стройиндустрии, химического машиностроения и транспорт</w:t>
      </w:r>
    </w:p>
    <w:p w:rsidR="00B92D35" w:rsidRDefault="00B92D35"/>
    <w:sectPr w:rsidR="00B92D35" w:rsidSect="00EC13F2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17"/>
    <w:multiLevelType w:val="multilevel"/>
    <w:tmpl w:val="E61A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0770E1"/>
    <w:multiLevelType w:val="multilevel"/>
    <w:tmpl w:val="8ECC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28135E"/>
    <w:multiLevelType w:val="hybridMultilevel"/>
    <w:tmpl w:val="6AC0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F2"/>
    <w:rsid w:val="00B92D35"/>
    <w:rsid w:val="00CE21CD"/>
    <w:rsid w:val="00E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13F2"/>
    <w:pPr>
      <w:ind w:left="720"/>
      <w:contextualSpacing/>
    </w:pPr>
  </w:style>
  <w:style w:type="paragraph" w:customStyle="1" w:styleId="paragraph">
    <w:name w:val="paragraph"/>
    <w:basedOn w:val="a"/>
    <w:rsid w:val="00EC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13F2"/>
  </w:style>
  <w:style w:type="character" w:customStyle="1" w:styleId="eop">
    <w:name w:val="eop"/>
    <w:basedOn w:val="a0"/>
    <w:rsid w:val="00EC13F2"/>
  </w:style>
  <w:style w:type="character" w:customStyle="1" w:styleId="scxp40527031">
    <w:name w:val="scxp40527031"/>
    <w:basedOn w:val="a0"/>
    <w:rsid w:val="00EC13F2"/>
  </w:style>
  <w:style w:type="character" w:styleId="a5">
    <w:name w:val="Hyperlink"/>
    <w:basedOn w:val="a0"/>
    <w:uiPriority w:val="99"/>
    <w:semiHidden/>
    <w:unhideWhenUsed/>
    <w:rsid w:val="00EC13F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13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13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xp245863759">
    <w:name w:val="scxp245863759"/>
    <w:basedOn w:val="a0"/>
    <w:rsid w:val="00B92D35"/>
  </w:style>
  <w:style w:type="character" w:customStyle="1" w:styleId="spellingerror">
    <w:name w:val="spellingerror"/>
    <w:basedOn w:val="a0"/>
    <w:rsid w:val="00B92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13F2"/>
    <w:pPr>
      <w:ind w:left="720"/>
      <w:contextualSpacing/>
    </w:pPr>
  </w:style>
  <w:style w:type="paragraph" w:customStyle="1" w:styleId="paragraph">
    <w:name w:val="paragraph"/>
    <w:basedOn w:val="a"/>
    <w:rsid w:val="00EC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13F2"/>
  </w:style>
  <w:style w:type="character" w:customStyle="1" w:styleId="eop">
    <w:name w:val="eop"/>
    <w:basedOn w:val="a0"/>
    <w:rsid w:val="00EC13F2"/>
  </w:style>
  <w:style w:type="character" w:customStyle="1" w:styleId="scxp40527031">
    <w:name w:val="scxp40527031"/>
    <w:basedOn w:val="a0"/>
    <w:rsid w:val="00EC13F2"/>
  </w:style>
  <w:style w:type="character" w:styleId="a5">
    <w:name w:val="Hyperlink"/>
    <w:basedOn w:val="a0"/>
    <w:uiPriority w:val="99"/>
    <w:semiHidden/>
    <w:unhideWhenUsed/>
    <w:rsid w:val="00EC13F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13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13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xp245863759">
    <w:name w:val="scxp245863759"/>
    <w:basedOn w:val="a0"/>
    <w:rsid w:val="00B92D35"/>
  </w:style>
  <w:style w:type="character" w:customStyle="1" w:styleId="spellingerror">
    <w:name w:val="spellingerror"/>
    <w:basedOn w:val="a0"/>
    <w:rsid w:val="00B9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8EA5-C5DE-43BD-9421-574AB1EF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2020-03-20T11:04:00Z</dcterms:created>
  <dcterms:modified xsi:type="dcterms:W3CDTF">2020-03-20T11:26:00Z</dcterms:modified>
</cp:coreProperties>
</file>