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4C" w:rsidRPr="00B7584C" w:rsidRDefault="00AF0BD6" w:rsidP="00B7584C">
      <w:pPr>
        <w:rPr>
          <w:rFonts w:ascii="Times New Roman" w:hAnsi="Times New Roman" w:cs="Times New Roman"/>
          <w:sz w:val="28"/>
          <w:szCs w:val="28"/>
        </w:rPr>
      </w:pPr>
      <w:r w:rsidRPr="00AF0BD6">
        <w:br/>
      </w:r>
      <w:proofErr w:type="spellStart"/>
      <w:r w:rsidR="00B7584C" w:rsidRPr="00B7584C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="00B7584C" w:rsidRPr="00B7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84C" w:rsidRPr="00B7584C">
        <w:rPr>
          <w:rFonts w:ascii="Times New Roman" w:hAnsi="Times New Roman" w:cs="Times New Roman"/>
          <w:sz w:val="28"/>
          <w:szCs w:val="28"/>
        </w:rPr>
        <w:t>Илюза</w:t>
      </w:r>
      <w:proofErr w:type="spellEnd"/>
      <w:r w:rsidR="00B7584C" w:rsidRPr="00B7584C">
        <w:rPr>
          <w:rFonts w:ascii="Times New Roman" w:hAnsi="Times New Roman" w:cs="Times New Roman"/>
          <w:sz w:val="28"/>
          <w:szCs w:val="28"/>
        </w:rPr>
        <w:t xml:space="preserve"> </w:t>
      </w:r>
      <w:r w:rsidRPr="00B7584C">
        <w:rPr>
          <w:rFonts w:ascii="Times New Roman" w:hAnsi="Times New Roman" w:cs="Times New Roman"/>
          <w:sz w:val="28"/>
          <w:szCs w:val="28"/>
        </w:rPr>
        <w:t>ЭК</w:t>
      </w:r>
      <w:r w:rsidR="00B7584C" w:rsidRPr="00B7584C">
        <w:rPr>
          <w:rFonts w:ascii="Times New Roman" w:hAnsi="Times New Roman" w:cs="Times New Roman"/>
          <w:sz w:val="28"/>
          <w:szCs w:val="28"/>
        </w:rPr>
        <w:t>П</w:t>
      </w:r>
      <w:r w:rsidRPr="00B7584C">
        <w:rPr>
          <w:rFonts w:ascii="Times New Roman" w:hAnsi="Times New Roman" w:cs="Times New Roman"/>
          <w:sz w:val="28"/>
          <w:szCs w:val="28"/>
        </w:rPr>
        <w:t>-4-18</w:t>
      </w:r>
    </w:p>
    <w:p w:rsidR="00AF0BD6" w:rsidRPr="00B7584C" w:rsidRDefault="00AF0BD6" w:rsidP="00B758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584C">
        <w:rPr>
          <w:rFonts w:ascii="Times New Roman" w:hAnsi="Times New Roman" w:cs="Times New Roman"/>
          <w:sz w:val="28"/>
          <w:szCs w:val="28"/>
        </w:rPr>
        <w:br/>
      </w:r>
      <w:r w:rsidRPr="00B7584C">
        <w:rPr>
          <w:rFonts w:ascii="Times New Roman" w:hAnsi="Times New Roman" w:cs="Times New Roman"/>
          <w:b/>
          <w:i/>
          <w:sz w:val="28"/>
          <w:szCs w:val="28"/>
        </w:rPr>
        <w:t>Домашнее задание #2</w:t>
      </w:r>
    </w:p>
    <w:p w:rsidR="00AF0BD6" w:rsidRPr="00B7584C" w:rsidRDefault="00AF0BD6" w:rsidP="00B7584C">
      <w:pPr>
        <w:rPr>
          <w:rFonts w:ascii="Times New Roman" w:hAnsi="Times New Roman" w:cs="Times New Roman"/>
          <w:i/>
          <w:sz w:val="28"/>
          <w:szCs w:val="28"/>
        </w:rPr>
      </w:pPr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P=(5+40)/2=</w:t>
      </w:r>
      <w:r w:rsidRPr="00B75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22,5 </w:t>
      </w:r>
      <w:proofErr w:type="spellStart"/>
      <w:r w:rsidRPr="00B75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Дельта P=40-5=</w:t>
      </w:r>
      <w:r w:rsidRPr="00B75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35 </w:t>
      </w:r>
      <w:proofErr w:type="spellStart"/>
      <w:r w:rsidRPr="00B75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Qd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=(20+10)/2=</w:t>
      </w:r>
      <w:r w:rsidRPr="00B75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 единиц</w:t>
      </w:r>
      <w:r w:rsidRPr="00B75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Дельта Q=10-20=</w:t>
      </w:r>
      <w:r w:rsidRPr="00B75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-10 единиц</w:t>
      </w:r>
      <w:r w:rsidRPr="00B758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Epd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=|(-10/15)/(35/22,5)|=0,66:1,56=</w:t>
      </w:r>
      <w:r w:rsidRPr="00B75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0,42</w:t>
      </w:r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&lt;1</w:t>
      </w:r>
      <w:r w:rsidRPr="00B75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758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значит спрос на товар не эластичен</w:t>
      </w:r>
      <w:proofErr w:type="gramEnd"/>
    </w:p>
    <w:p w:rsidR="00AF0BD6" w:rsidRPr="00B7584C" w:rsidRDefault="00AF0BD6" w:rsidP="00B758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584C">
        <w:rPr>
          <w:rFonts w:ascii="Times New Roman" w:hAnsi="Times New Roman" w:cs="Times New Roman"/>
          <w:b/>
          <w:i/>
          <w:sz w:val="28"/>
          <w:szCs w:val="28"/>
        </w:rPr>
        <w:t>Кейс 3.</w:t>
      </w:r>
    </w:p>
    <w:p w:rsidR="00AF0BD6" w:rsidRPr="00B7584C" w:rsidRDefault="00AF0BD6" w:rsidP="00B7584C">
      <w:pPr>
        <w:rPr>
          <w:rFonts w:ascii="Times New Roman" w:hAnsi="Times New Roman" w:cs="Times New Roman"/>
          <w:i/>
          <w:sz w:val="28"/>
          <w:szCs w:val="28"/>
        </w:rPr>
      </w:pPr>
      <w:r w:rsidRPr="00B7584C">
        <w:rPr>
          <w:rFonts w:ascii="Times New Roman" w:hAnsi="Times New Roman" w:cs="Times New Roman"/>
          <w:i/>
          <w:sz w:val="28"/>
          <w:szCs w:val="28"/>
        </w:rPr>
        <w:t>Решение Комиссии по делу производителей пивных напитков.</w:t>
      </w:r>
    </w:p>
    <w:p w:rsidR="00AF0BD6" w:rsidRPr="00B7584C" w:rsidRDefault="00AF0BD6" w:rsidP="00B758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584C">
        <w:rPr>
          <w:rFonts w:ascii="Times New Roman" w:hAnsi="Times New Roman" w:cs="Times New Roman"/>
          <w:i/>
          <w:sz w:val="28"/>
          <w:szCs w:val="28"/>
        </w:rPr>
        <w:t>Тип нарушения</w:t>
      </w:r>
      <w:r w:rsidRPr="00B7584C">
        <w:rPr>
          <w:rFonts w:ascii="Times New Roman" w:hAnsi="Times New Roman" w:cs="Times New Roman"/>
          <w:sz w:val="28"/>
          <w:szCs w:val="28"/>
        </w:rPr>
        <w:t xml:space="preserve"> – Разделение рынка</w:t>
      </w:r>
      <w:r w:rsidRPr="00B7584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F0BD6" w:rsidRPr="00B7584C" w:rsidRDefault="00AF0BD6" w:rsidP="00B758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proofErr w:type="gram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Штрафы Комиссии членов пивного картеля в Нидерландах на сумму свыше € 273 миллионов Европейская Комиссия оштрафовала голландских пивоваров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Heineken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Grolsch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и 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Bavaria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на общую сумму € 273 783 000 за создание картеля на рынке пива в Нидерландах в нарушении Соглашения EC о запрете на картели и другие действия по ограничению рыночных отношений (Статья 81).</w:t>
      </w:r>
      <w:proofErr w:type="gram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Решение Комиссии включает группу компаний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Heineken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Grolsch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и 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Bavaria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 вместе с 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InBev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группой, которая также участвовала в картеле. Потребление пива в Нидерландах приблизительно составляет </w:t>
      </w:r>
      <w:smartTag w:uri="urn:schemas-microsoft-com:office:smarttags" w:element="metricconverter">
        <w:smartTagPr>
          <w:attr w:name="ProductID" w:val="80 литров"/>
        </w:smartTagPr>
        <w:r w:rsidRPr="00B7584C">
          <w:rPr>
            <w:rFonts w:ascii="Times New Roman" w:hAnsi="Times New Roman" w:cs="Times New Roman"/>
            <w:color w:val="000000"/>
            <w:sz w:val="28"/>
            <w:szCs w:val="28"/>
            <w:shd w:val="clear" w:color="auto" w:fill="FDFDFD"/>
          </w:rPr>
          <w:t>80 литров</w:t>
        </w:r>
      </w:smartTag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на душу населения. В период как минимум между 1996 и 1999 годами эти четыре пивовара провели многочисленные неофициальные встречи, во время которых они координировали цены и повышение цен на пиво в Нидерландах.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InBev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не был оштрафован, так как предоставил убедительную информацию о картеле в соответствии с программой освобождения от ответственности.</w:t>
      </w:r>
    </w:p>
    <w:p w:rsidR="00AF0BD6" w:rsidRPr="00B7584C" w:rsidRDefault="00AF0BD6" w:rsidP="00B758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После Комиссии, по собственной инициативе раскрыв картель на бельгийском рынке пива,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InBev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под эгидой программы освобождения от ответственности предоставил информацию о собственном участии в картелях в других европейских странах. Это привело к обыскам пивоваров во Франции, Люксембурге, Италии и Нидерландах. В результате этих расследований были приняты антикартельные решения по Бельгии, Франции и Люксембургу. Итальянское расследование было закрыто без вынесения обвинений.</w:t>
      </w:r>
    </w:p>
    <w:p w:rsidR="00AF0BD6" w:rsidRPr="00B7584C" w:rsidRDefault="00AF0BD6" w:rsidP="00B758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584C">
        <w:rPr>
          <w:rFonts w:ascii="Times New Roman" w:hAnsi="Times New Roman" w:cs="Times New Roman"/>
          <w:i/>
          <w:color w:val="000000"/>
          <w:sz w:val="28"/>
          <w:szCs w:val="28"/>
        </w:rPr>
        <w:t>Доказательства</w:t>
      </w:r>
      <w:r w:rsidRPr="00B7584C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.</w:t>
      </w:r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В результате обысков были получены доказательства в виде личных рукописных записей, взятых на неофициальных встречах и содержащие информацию о датах и местах встреч. Полученные доказательства свидетельствовали, что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Heineken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InBev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Grolsch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Bavaria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управляли незаконным </w:t>
      </w:r>
      <w:r w:rsidRPr="00B758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картелем в Нидерландах. Это также полностью подтверждается корпоративными заявлениями, сделанными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InBev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0BD6" w:rsidRPr="00B7584C" w:rsidRDefault="00AF0BD6" w:rsidP="00B758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584C">
        <w:rPr>
          <w:rFonts w:ascii="Times New Roman" w:hAnsi="Times New Roman" w:cs="Times New Roman"/>
          <w:i/>
          <w:color w:val="000000"/>
          <w:sz w:val="28"/>
          <w:szCs w:val="28"/>
        </w:rPr>
        <w:t>Штрафы</w:t>
      </w:r>
      <w:r w:rsidRPr="00B7584C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.</w:t>
      </w:r>
      <w:r w:rsidRPr="00B7584C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Рассмотренные случаи являются очень серьезным нарушением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антитрастовых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правил Соглашения EC. Штрафы были рассчитаны с учетом размера рынков, продолжительности деятельности картеля и размера вовлеченных фирм.</w:t>
      </w:r>
    </w:p>
    <w:p w:rsidR="00AF0BD6" w:rsidRPr="00B7584C" w:rsidRDefault="00AF0BD6" w:rsidP="00B758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584C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B7584C">
        <w:rPr>
          <w:rFonts w:ascii="Times New Roman" w:hAnsi="Times New Roman" w:cs="Times New Roman"/>
          <w:sz w:val="28"/>
          <w:szCs w:val="28"/>
        </w:rPr>
        <w:t xml:space="preserve"> Комиссии по делу производителей профессиональных видеокассет</w:t>
      </w:r>
    </w:p>
    <w:p w:rsidR="00AF0BD6" w:rsidRPr="00B7584C" w:rsidRDefault="00AF0BD6" w:rsidP="00B7584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7584C">
        <w:rPr>
          <w:rFonts w:ascii="Times New Roman" w:hAnsi="Times New Roman" w:cs="Times New Roman"/>
          <w:i/>
          <w:color w:val="000000"/>
          <w:sz w:val="28"/>
          <w:szCs w:val="28"/>
        </w:rPr>
        <w:t>Тип нарушения</w:t>
      </w:r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7584C">
        <w:rPr>
          <w:rFonts w:ascii="Times New Roman" w:hAnsi="Times New Roman" w:cs="Times New Roman"/>
          <w:color w:val="000000"/>
          <w:sz w:val="28"/>
          <w:szCs w:val="28"/>
          <w:lang w:val="tt-RU"/>
        </w:rPr>
        <w:t>Ф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иксированные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цены</w:t>
      </w:r>
      <w:r w:rsidRPr="00B7584C">
        <w:rPr>
          <w:rFonts w:ascii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AF0BD6" w:rsidRPr="00B7584C" w:rsidRDefault="00AF0BD6" w:rsidP="00B7584C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Антитраст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Штрафы Комиссии по делу производителей профессиональных видеокассет на сумму свыше € 74 миллионов за создание картеля по фиксированию цен Европейская комиссия наложила штрафы, всего на сумму 74 790 000 €, на 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за фиксирование цен на рынке продаж профессиональных видеокассет покупателям Европы в нарушении Соглашения EC о запрете на картели и другие действия по ограничению рыночных отношений (Статья 81</w:t>
      </w:r>
      <w:proofErr w:type="gram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). В период между 1999 и 2002 годами,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контролировали </w:t>
      </w:r>
      <w:proofErr w:type="gram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цены</w:t>
      </w:r>
      <w:proofErr w:type="gram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как в плане роста, так и во всех остальных отношениях посредством ряда регулярных встреч и других незаконных контактов. Штраф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был увеличен на 30% за препятствия работе Комиссии во время локальных проверок его помещений. Штрафы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были уменьшены на 40% и 20% соответственно, потому что они сотрудничали с расследованием в соответствии с программой освобождения от ответственности (2002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LeniencyNotice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>). Однако в данном случае освобождения от ответственности не было. Для расчета штрафов в данном деле Комиссия впервые применила новое Руководство 2006  .</w:t>
      </w:r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(€)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Sony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(Япония)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NoneNone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47 190 000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Fuji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(Япония) 40% 8 800 000 13 200 000 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Maxell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(Япония) 20% 3 600 000 14 400 000</w:t>
      </w:r>
      <w:proofErr w:type="gramStart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И</w:t>
      </w:r>
      <w:proofErr w:type="gramEnd"/>
      <w:r w:rsidRPr="00B7584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того 74 790 000 (*) Юридические лица в качестве ответчиков могут быть привлечены совместно и по отдельности по наложенным штрафам целиком или частично.  </w:t>
      </w:r>
    </w:p>
    <w:p w:rsidR="00AF0BD6" w:rsidRPr="00B7584C" w:rsidRDefault="00AF0BD6" w:rsidP="00B758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584C">
        <w:rPr>
          <w:rFonts w:ascii="Times New Roman" w:hAnsi="Times New Roman" w:cs="Times New Roman"/>
          <w:color w:val="000000"/>
          <w:sz w:val="28"/>
          <w:szCs w:val="28"/>
        </w:rPr>
        <w:t>2)</w:t>
      </w:r>
    </w:p>
    <w:p w:rsidR="00AF0BD6" w:rsidRPr="00B7584C" w:rsidRDefault="00AF0BD6" w:rsidP="00B758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584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7584C">
        <w:rPr>
          <w:rFonts w:ascii="Times New Roman" w:hAnsi="Times New Roman" w:cs="Times New Roman"/>
          <w:sz w:val="28"/>
          <w:szCs w:val="28"/>
        </w:rPr>
        <w:t xml:space="preserve"> В Нидерландах </w:t>
      </w:r>
      <w:r w:rsidRPr="00B7584C">
        <w:rPr>
          <w:rFonts w:ascii="Times New Roman" w:hAnsi="Times New Roman" w:cs="Times New Roman"/>
          <w:color w:val="000000"/>
          <w:sz w:val="28"/>
          <w:szCs w:val="28"/>
        </w:rPr>
        <w:t>Комиссия признает, что расследование в данном случае неоправданно затянулось, и, начиная с обысков, продлилось свыше семи лет. По этим причинам размер штрафов был уменьшен на € 100 000.</w:t>
      </w:r>
    </w:p>
    <w:p w:rsidR="00AF0BD6" w:rsidRPr="00B7584C" w:rsidRDefault="00AF0BD6" w:rsidP="00B758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584C">
        <w:rPr>
          <w:rFonts w:ascii="Times New Roman" w:hAnsi="Times New Roman" w:cs="Times New Roman"/>
          <w:color w:val="000000"/>
          <w:sz w:val="28"/>
          <w:szCs w:val="28"/>
        </w:rPr>
        <w:t>Совместная и индивидуальная ответственность Действия в случае убытков</w:t>
      </w:r>
      <w:proofErr w:type="gram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proofErr w:type="gramEnd"/>
      <w:r w:rsidRPr="00B7584C">
        <w:rPr>
          <w:rFonts w:ascii="Times New Roman" w:hAnsi="Times New Roman" w:cs="Times New Roman"/>
          <w:color w:val="000000"/>
          <w:sz w:val="28"/>
          <w:szCs w:val="28"/>
        </w:rPr>
        <w:t>юбой человек или фирма, которых затронуло анти-конкурентное поведение как описано в этом деле, могут вынести вопрос на рассмотрение судов Государств — членов и истребовать убытки, представляя элементы опубликованного решения как доказательство, что поведение имело место и было незаконно. Несмотря на то, что Комиссия оштрафовала заинтересованные компании, убытки можно востребовать без уменьшения из-за штрафа Комиссии.</w:t>
      </w:r>
    </w:p>
    <w:p w:rsidR="00AF0BD6" w:rsidRPr="00B7584C" w:rsidRDefault="00AF0BD6" w:rsidP="00B7584C">
      <w:pPr>
        <w:rPr>
          <w:rFonts w:ascii="Times New Roman" w:hAnsi="Times New Roman" w:cs="Times New Roman"/>
          <w:sz w:val="28"/>
          <w:szCs w:val="28"/>
        </w:rPr>
      </w:pPr>
      <w:r w:rsidRPr="00B7584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Pr="00B7584C">
        <w:rPr>
          <w:rFonts w:ascii="Times New Roman" w:hAnsi="Times New Roman" w:cs="Times New Roman"/>
          <w:sz w:val="28"/>
          <w:szCs w:val="28"/>
        </w:rPr>
        <w:t xml:space="preserve"> В случае с видеокассетами программа не использовалась.</w:t>
      </w:r>
    </w:p>
    <w:p w:rsidR="00AF0BD6" w:rsidRPr="00B7584C" w:rsidRDefault="00AF0BD6" w:rsidP="00B7584C">
      <w:pPr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B7584C">
        <w:rPr>
          <w:rFonts w:ascii="Times New Roman" w:hAnsi="Times New Roman" w:cs="Times New Roman"/>
          <w:color w:val="000000"/>
          <w:sz w:val="28"/>
          <w:szCs w:val="28"/>
        </w:rPr>
        <w:t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AF0BD6" w:rsidRPr="00B7584C" w:rsidRDefault="00AF0BD6" w:rsidP="00B7584C">
      <w:pPr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B7584C">
        <w:rPr>
          <w:rFonts w:ascii="Times New Roman" w:hAnsi="Times New Roman" w:cs="Times New Roman"/>
          <w:color w:val="000000"/>
          <w:sz w:val="28"/>
          <w:szCs w:val="28"/>
        </w:rPr>
        <w:t>Закрепление некоторых сегментов рынка под монопольным контролем. Раздел рынка ведет к тому, что фирма становится чистым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Транснефти</w:t>
      </w:r>
      <w:proofErr w:type="spellEnd"/>
      <w:r w:rsidRPr="00B7584C">
        <w:rPr>
          <w:rFonts w:ascii="Times New Roman" w:hAnsi="Times New Roman" w:cs="Times New Roman"/>
          <w:color w:val="000000"/>
          <w:sz w:val="28"/>
          <w:szCs w:val="28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AF0BD6" w:rsidRPr="00B7584C" w:rsidRDefault="00AF0BD6" w:rsidP="00B758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Pr="00B7584C">
        <w:rPr>
          <w:rFonts w:ascii="Times New Roman" w:hAnsi="Times New Roman" w:cs="Times New Roman"/>
          <w:color w:val="000000"/>
          <w:sz w:val="28"/>
          <w:szCs w:val="28"/>
        </w:rPr>
        <w:t>закурке</w:t>
      </w:r>
      <w:proofErr w:type="gramEnd"/>
      <w:r w:rsidRPr="00B7584C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AF0BD6" w:rsidRPr="00B7584C" w:rsidRDefault="00AF0BD6" w:rsidP="00B758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584C">
        <w:rPr>
          <w:rFonts w:ascii="Times New Roman" w:hAnsi="Times New Roman" w:cs="Times New Roman"/>
          <w:color w:val="000000"/>
          <w:sz w:val="28"/>
          <w:szCs w:val="28"/>
        </w:rPr>
        <w:t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AF0BD6" w:rsidRPr="00B7584C" w:rsidRDefault="00AF0BD6" w:rsidP="00B7584C">
      <w:pPr>
        <w:rPr>
          <w:rFonts w:ascii="Times New Roman" w:hAnsi="Times New Roman" w:cs="Times New Roman"/>
          <w:sz w:val="28"/>
          <w:szCs w:val="28"/>
        </w:rPr>
      </w:pPr>
    </w:p>
    <w:p w:rsidR="00EC4501" w:rsidRPr="00B7584C" w:rsidRDefault="00EC4501" w:rsidP="00B7584C">
      <w:pPr>
        <w:rPr>
          <w:rFonts w:ascii="Times New Roman" w:hAnsi="Times New Roman" w:cs="Times New Roman"/>
          <w:sz w:val="28"/>
          <w:szCs w:val="28"/>
        </w:rPr>
      </w:pPr>
    </w:p>
    <w:sectPr w:rsidR="00EC4501" w:rsidRPr="00B7584C" w:rsidSect="00B758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A73"/>
    <w:multiLevelType w:val="multilevel"/>
    <w:tmpl w:val="4F6420F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%2."/>
      <w:lvlJc w:val="left"/>
      <w:pPr>
        <w:ind w:left="360" w:hanging="360"/>
      </w:pPr>
    </w:lvl>
    <w:lvl w:ilvl="2">
      <w:start w:val="1"/>
      <w:numFmt w:val="decimal"/>
      <w:lvlText w:val="%1)%2.%3."/>
      <w:lvlJc w:val="left"/>
      <w:pPr>
        <w:ind w:left="720" w:hanging="720"/>
      </w:pPr>
    </w:lvl>
    <w:lvl w:ilvl="3">
      <w:start w:val="1"/>
      <w:numFmt w:val="decimal"/>
      <w:lvlText w:val="%1)%2.%3.%4."/>
      <w:lvlJc w:val="left"/>
      <w:pPr>
        <w:ind w:left="720" w:hanging="720"/>
      </w:pPr>
    </w:lvl>
    <w:lvl w:ilvl="4">
      <w:start w:val="1"/>
      <w:numFmt w:val="decimal"/>
      <w:lvlText w:val="%1)%2.%3.%4.%5."/>
      <w:lvlJc w:val="left"/>
      <w:pPr>
        <w:ind w:left="1080" w:hanging="1080"/>
      </w:pPr>
    </w:lvl>
    <w:lvl w:ilvl="5">
      <w:start w:val="1"/>
      <w:numFmt w:val="decimal"/>
      <w:lvlText w:val="%1)%2.%3.%4.%5.%6."/>
      <w:lvlJc w:val="left"/>
      <w:pPr>
        <w:ind w:left="1080" w:hanging="1080"/>
      </w:pPr>
    </w:lvl>
    <w:lvl w:ilvl="6">
      <w:start w:val="1"/>
      <w:numFmt w:val="decimal"/>
      <w:lvlText w:val="%1)%2.%3.%4.%5.%6.%7."/>
      <w:lvlJc w:val="left"/>
      <w:pPr>
        <w:ind w:left="1080" w:hanging="1080"/>
      </w:pPr>
    </w:lvl>
    <w:lvl w:ilvl="7">
      <w:start w:val="1"/>
      <w:numFmt w:val="decimal"/>
      <w:lvlText w:val="%1)%2.%3.%4.%5.%6.%7.%8."/>
      <w:lvlJc w:val="left"/>
      <w:pPr>
        <w:ind w:left="1440" w:hanging="1440"/>
      </w:pPr>
    </w:lvl>
    <w:lvl w:ilvl="8">
      <w:start w:val="1"/>
      <w:numFmt w:val="decimal"/>
      <w:lvlText w:val="%1)%2.%3.%4.%5.%6.%7.%8.%9."/>
      <w:lvlJc w:val="left"/>
      <w:pPr>
        <w:ind w:left="1440" w:hanging="1440"/>
      </w:pPr>
    </w:lvl>
  </w:abstractNum>
  <w:abstractNum w:abstractNumId="1">
    <w:nsid w:val="3B21291A"/>
    <w:multiLevelType w:val="hybridMultilevel"/>
    <w:tmpl w:val="B47A3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5618D"/>
    <w:multiLevelType w:val="hybridMultilevel"/>
    <w:tmpl w:val="4260AC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BD6"/>
    <w:rsid w:val="00AF0BD6"/>
    <w:rsid w:val="00B7584C"/>
    <w:rsid w:val="00EC4501"/>
    <w:rsid w:val="00F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D6"/>
    <w:pPr>
      <w:ind w:left="720"/>
      <w:contextualSpacing/>
    </w:pPr>
  </w:style>
  <w:style w:type="paragraph" w:styleId="a4">
    <w:name w:val="Normal (Web)"/>
    <w:basedOn w:val="a"/>
    <w:semiHidden/>
    <w:unhideWhenUsed/>
    <w:rsid w:val="00AF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0B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1047</Words>
  <Characters>5971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ICL</cp:lastModifiedBy>
  <cp:revision>2</cp:revision>
  <dcterms:created xsi:type="dcterms:W3CDTF">2020-04-08T09:48:00Z</dcterms:created>
  <dcterms:modified xsi:type="dcterms:W3CDTF">2020-04-08T10:07:00Z</dcterms:modified>
</cp:coreProperties>
</file>