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Домашнее задание 2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P=(5+40)/2=22,5 руб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Дельта P=40-5=35 руб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Qd=(20+10)/2=15 единиц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Дельта Q=10-20=-10 единиц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Epd=|(-10/15)/(35/22,5)|=0,66:1,56=0,42&lt;1, значит спрос на товар не эластичен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Кейс 3.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Комиссии по делу производителей пивных напитков.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нарушения – Разделение рынка.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  <w:shd w:fill="fdfdf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dfdfd" w:val="clear"/>
          <w:rtl w:val="0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Heineken, Grolsch и Bavaria на общую сумму € 273 783 000 за создание картеля на рынке пива в Нидерландах в нарушении Соглашения EC о запрете на картели и другие действия по ограничению рыночных отношений (Статья 81). Решение Комиссии включает группу компаний Heineken, Grolsch и Bavaria, вместе с InBev группой, которая также участвовала в картеле. Потребление пива в Нидерландах приблизительно составляет 80 литров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InBev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  <w:shd w:fill="fdfdf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Комиссии, по собственной инициативе раскрыв картель на бельгийском рынке пива, InBev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dfdfd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Доказательства.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Heineken, InBev, Grolsch и Bavaria управляли незаконным картелем в Нидерландах. Это также полностью подтверждается корпоративными заявлениями, сделанными InBev.</w:t>
      </w:r>
    </w:p>
    <w:p w:rsidR="00000000" w:rsidDel="00000000" w:rsidP="00000000" w:rsidRDefault="00000000" w:rsidRPr="00000000" w14:paraId="00000009">
      <w:pPr>
        <w:shd w:fill="fdfdfd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Штрафы. Рассмотренные случаи являются очень серьезным нарушением антитрастовых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Комиссии по делу производителей профессиональных видеокассет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нарушения – Фиксированные цены.</w:t>
      </w:r>
    </w:p>
    <w:p w:rsidR="00000000" w:rsidDel="00000000" w:rsidP="00000000" w:rsidRDefault="00000000" w:rsidRPr="00000000" w14:paraId="0000000C">
      <w:pPr>
        <w:shd w:fill="fdfdfd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Антитраст: 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Sony, Fuji и Maxell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81). В период между 1999 и 2002 годами, Sony, Fuji и Maxell контролировали цены как в плане роста, так и во всех остальных отношениях посредством ряда регулярных встреч и других незаконных контактов. Штраф Sony был увеличен на 30% за препятствия работе Комиссии во время локальных проверок его помещений. Штрафы Fuji и Maxell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LeniencyNotice). Однако в данном случае освобождения от ответственности не было. Для расчета штрафов в данном деле Комиссия впервые применила новое Руководство 2006  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dfdfd" w:val="clear"/>
          <w:rtl w:val="0"/>
        </w:rPr>
        <w:t xml:space="preserve">(€) Sony (Япония) NoneNone 47 190 000 Fuji (Япония) 40% 8 800 000 13 200 000 Maxell (Япония) 20% 3 600 000 14 400 000 Итого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dfdfd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</w:t>
      </w:r>
    </w:p>
    <w:p w:rsidR="00000000" w:rsidDel="00000000" w:rsidP="00000000" w:rsidRDefault="00000000" w:rsidRPr="00000000" w14:paraId="0000000E">
      <w:pPr>
        <w:shd w:fill="fdfdfd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 Нидерландах 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000000" w:rsidDel="00000000" w:rsidP="00000000" w:rsidRDefault="00000000" w:rsidRPr="00000000" w14:paraId="0000000F">
      <w:pPr>
        <w:shd w:fill="fdfdfd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Совместная и индивидуальная ответственность Действия в случае убытков Любой человек или фирма, которых затронуло анти-конкурентное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Комиссия оштрафовала заинтересованные компании, убытки можно востребовать без уменьшения из-за штрафа Комиссии.</w:t>
      </w:r>
    </w:p>
    <w:p w:rsidR="00000000" w:rsidDel="00000000" w:rsidP="00000000" w:rsidRDefault="00000000" w:rsidRPr="00000000" w14:paraId="00000010">
      <w:pPr>
        <w:shd w:fill="fdfdfd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 случае с видеокассетами программа не использовалась.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hd w:fill="fdfdfd" w:val="clear"/>
        <w:spacing w:after="240" w:before="24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 .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dfdfd" w:val="clear"/>
        <w:spacing w:after="24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Закрепление некоторых сегментов рынка под монопольным контролем. Раздел рынка ведет к тому, что фирма становится чистым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«Транснефти»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" w:line="276" w:lineRule="auto"/>
        <w:ind w:left="877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%1)%2."/>
      <w:lvlJc w:val="left"/>
      <w:pPr>
        <w:ind w:left="360" w:hanging="360"/>
      </w:pPr>
      <w:rPr/>
    </w:lvl>
    <w:lvl w:ilvl="2">
      <w:start w:val="1"/>
      <w:numFmt w:val="decimal"/>
      <w:lvlText w:val="%1)%2.%3."/>
      <w:lvlJc w:val="left"/>
      <w:pPr>
        <w:ind w:left="720" w:hanging="720"/>
      </w:pPr>
      <w:rPr/>
    </w:lvl>
    <w:lvl w:ilvl="3">
      <w:start w:val="1"/>
      <w:numFmt w:val="decimal"/>
      <w:lvlText w:val="%1)%2.%3.%4."/>
      <w:lvlJc w:val="left"/>
      <w:pPr>
        <w:ind w:left="720" w:hanging="720"/>
      </w:pPr>
      <w:rPr/>
    </w:lvl>
    <w:lvl w:ilvl="4">
      <w:start w:val="1"/>
      <w:numFmt w:val="decimal"/>
      <w:lvlText w:val="%1)%2.%3.%4.%5."/>
      <w:lvlJc w:val="left"/>
      <w:pPr>
        <w:ind w:left="1080" w:hanging="1080"/>
      </w:pPr>
      <w:rPr/>
    </w:lvl>
    <w:lvl w:ilvl="5">
      <w:start w:val="1"/>
      <w:numFmt w:val="decimal"/>
      <w:lvlText w:val="%1)%2.%3.%4.%5.%6."/>
      <w:lvlJc w:val="left"/>
      <w:pPr>
        <w:ind w:left="1080" w:hanging="1080"/>
      </w:pPr>
      <w:rPr/>
    </w:lvl>
    <w:lvl w:ilvl="6">
      <w:start w:val="1"/>
      <w:numFmt w:val="decimal"/>
      <w:lvlText w:val="%1)%2.%3.%4.%5.%6.%7."/>
      <w:lvlJc w:val="left"/>
      <w:pPr>
        <w:ind w:left="1080" w:hanging="1080"/>
      </w:pPr>
      <w:rPr/>
    </w:lvl>
    <w:lvl w:ilvl="7">
      <w:start w:val="1"/>
      <w:numFmt w:val="decimal"/>
      <w:lvlText w:val="%1)%2.%3.%4.%5.%6.%7.%8."/>
      <w:lvlJc w:val="left"/>
      <w:pPr>
        <w:ind w:left="1440" w:hanging="1440"/>
      </w:pPr>
      <w:rPr/>
    </w:lvl>
    <w:lvl w:ilvl="8">
      <w:start w:val="1"/>
      <w:numFmt w:val="decimal"/>
      <w:lvlText w:val="%1)%2.%3.%4.%5.%6.%7.%8.%9."/>
      <w:lvlJc w:val="left"/>
      <w:pPr>
        <w:ind w:left="1440" w:hanging="144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