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Домашнее задание 2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P=(5+40)/2=22,5 руб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Дельта P=40-5=35 руб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Qd=(20+10)/2=15 единиц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Дельта Q=10-20=-10 единиц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Epd=|(-10/15)/(35/22,5)|=0,66:1,56=0,42&lt;1, значит спрос на товар не эластичен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Кейс 3.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Комиссии по делу производителей пивных напитков.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нарушения – Разделение рынка.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dfdfd" w:val="clear"/>
          <w:rtl w:val="0"/>
        </w:rPr>
        <w:t xml:space="preserve">Штрафы Комиссии членов пивного картеля в Нидерландах на сумму свыше € 273 миллионов Европейская Комиссия оштрафовала голландских пивоваров Heineken, Grolsch и Bavaria на общую сумму € 273 783 000 за создание картеля на рынке пива в Нидерландах в нарушении Соглашения EC о запрете на картели и другие действия по ограничению рыночных отношений (Статья 81). Решение Комиссии включает группу компаний Heineken, Grolsch и Bavaria, вместе с InBev группой, которая также участвовала в картеле. Потребление пива в Нидерландах приблизительно составляет 80 литров на душу населения. В период как минимум между 1996 и 1999 годами эти четыре пивовара провели многочисленные неофициальные встречи, во время которых они координировали цены и повышение цен на пиво в Нидерландах. InBev не был оштрафован, так как предоставил убедительную информацию о картеле в соответствии с программой освобождения от ответственности.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  <w:shd w:fill="fdfd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Комиссии, по собственной инициативе раскрыв картель на бельгийском рынке пива, InBev под эгидой программы освобождения от ответственности предоставил информацию о собственном участии в картелях в других европейских странах. Это привело к обыскам пивоваров во Франции, Люксембурге, Италии и Нидерландах. В результате этих расследований были приняты антикартельные решения по Бельгии, Франции и Люксембургу. Итальянское расследование было закрыто без вынесения обвинений.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Доказательства. В результате обысков были получены доказательства в виде личных рукописных записей, взятых на неофициальных встречах и содержащие информацию о датах и местах встреч. Полученные доказательства свидетельствовали, что Heineken, InBev, Grolsch и Bavaria управляли незаконным картелем в Нидерландах. Это также полностью подтверждается корпоративными заявлениями, сделанными InBev.</w:t>
      </w:r>
    </w:p>
    <w:p w:rsidR="00000000" w:rsidDel="00000000" w:rsidP="00000000" w:rsidRDefault="00000000" w:rsidRPr="00000000" w14:paraId="00000009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Штрафы. Рассмотренные случаи являются очень серьезным нарушением антитрастовых правил Соглашения EC. Штрафы были рассчитаны с учетом размера рынков, продолжительности деятельности картеля и размера вовлеченных фирм.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Комиссии по делу производителей профессиональных видеокассет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нарушения – Фиксированные цены.</w:t>
      </w:r>
    </w:p>
    <w:p w:rsidR="00000000" w:rsidDel="00000000" w:rsidP="00000000" w:rsidRDefault="00000000" w:rsidRPr="00000000" w14:paraId="0000000C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Антитраст: Штрафы Комиссии по делу производителей профессиональных видеокассет на сумму свыше € 74 миллионов за создание картеля по фиксированию цен Европейская комиссия наложила штрафы, всего на сумму 74 790 000 €, на Sony, Fuji и Maxell за фиксирование цен на рынке продаж профессиональных видеокассет покупателям Европы в нарушении Соглашения EC о запрете на картели и другие действия по ограничению рыночных отношений (Статья 81). В период между 1999 и 2002 годами, Sony, Fuji и Maxell контролировали цены как в плане роста, так и во всех остальных отношениях посредством ряда регулярных встреч и других незаконных контактов. Штраф Sony был увеличен на 30% за препятствия работе Комиссии во время локальных проверок его помещений. Штрафы Fuji и Maxell были уменьшены на 40% и 20% соответственно, потому что они сотрудничали с расследованием в соответствии с программой освобождения от ответственности (2002 LeniencyNotice). Однако в данном случае освобождения от ответственности не было. Для расчета штрафов в данном деле Комиссия впервые применила новое Руководство 2006  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dfdfd" w:val="clear"/>
          <w:rtl w:val="0"/>
        </w:rPr>
        <w:t xml:space="preserve">(€) Sony (Япония) NoneNone 47 190 000 Fuji (Япония) 40% 8 800 000 13 200 000 Maxell (Япония) 20% 3 600 000 14 400 000 Итого 74 790 000 (*) Юридические лица в качестве ответчиков могут быть привлечены совместно и по отдельности по наложенным штрафам целиком или частично.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0E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 Нидерландах Комиссия признает, что расследование в данном случае неоправданно затянулось, и, начиная с обысков, продлилось свыше семи лет. По этим причинам размер штрафов был уменьшен на € 100 000.</w:t>
      </w:r>
    </w:p>
    <w:p w:rsidR="00000000" w:rsidDel="00000000" w:rsidP="00000000" w:rsidRDefault="00000000" w:rsidRPr="00000000" w14:paraId="0000000F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Совместная и индивидуальная ответственность Действия в случае убытков Любой человек или фирма, которых затронуло анти-конкурентное поведение как описано в этом деле, могут вынести вопрос на рассмотрение судов Государств — членов и истребовать убытки, представляя элементы опубликованного решения как доказательство, что поведение имело место и было незаконно. Несмотря на то, что Комиссия оштрафовала заинтересованные компании, убытки можно востребовать без уменьшения из-за штрафа Комиссии.</w:t>
      </w:r>
    </w:p>
    <w:p w:rsidR="00000000" w:rsidDel="00000000" w:rsidP="00000000" w:rsidRDefault="00000000" w:rsidRPr="00000000" w14:paraId="00000010">
      <w:pPr>
        <w:shd w:fill="fdfdfd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 случае с видеокассетами программа не использовалась.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dfdfd" w:val="clear"/>
        <w:spacing w:after="240" w:before="240"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Повышение цены реализации продукции. Это наиболее универсальное последствие, сопровождающее создание практически любого картеля. Часто именно оно выводит отрасль из убытков в зону прибыльности . К тому же картели часто создаются для прекращения разрушительных ценовых войн. Даже если сложившиеся цены грозят разорить всех, поднять их в отдельности не может ни одна из фирм. Стоит кому-то сделать такую попытку, и покупатель переключится на продукцию конкурентов, что дополнительно ухудшит и без того тяжелое положение рискнувшей повысить цены фирмы. Выход состоит в согласованном повышении цен всеми основными производителями. А это первый шаг к картелю.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dfdfd" w:val="clear"/>
        <w:spacing w:after="24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Закрепление некоторых сегментов рынка под монопольным контролем. Раздел рынка ведет к тому, что фирма становится чистым монополистом в своем сегменте и может там диктовать собственную волю безо всякой оглядки на конкурентов. Помимо наиболее известного территориального раздела (например, по договору московский рынок обслуживает одна фирма, петербургский – другая) широко практикуется раздел по продуктам (члены картеля на взаимной основе предоставляют друг другу исключительные права на выпуск определенных товаров). Встречаются и договоры о разделе крупных клиентов (перекачивающие станции для «Газпрома» поставляет одна фирма, для «Транснефти» - вторая). В перспективном плане может осуществляться раздел направлений научных исследований, что годы спустя становится надежной основой продуктового раздела.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Дезинформация потребителей (имитация конкуренции). Члены картеля обычно скрывают от потребителей существование сговора. В итоге, например, на тендер по закурке оборудования может поступить шесть якобы независимых заявок с предложениями от разных фирм – членов картеля. На деле же пять из них будут специально содержать невыгодные предложения, чтобы последняя (чуть лучшая) показалась приемлемой, хотя в действительности тоже является грабительской. Точно так же для создания иллюзии выбора на рынке, отданном в монопольное пользование одному участнику, могут продаваться продукты других членов картеля, но по заведомо завышенным ценам.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4" w:line="276" w:lineRule="auto"/>
        <w:ind w:left="87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Совместная борьба с аутсайдерами. Члены картеля могут совместно препятствовать проникновению на рынок фирм-новичков. Для этого при появлении опасности один из участников может назначать сверхнизкие («боевые») цены, чтобы вытеснить аутсайдера (так называют не входящую в картель фирму). Другие же члены картеля в дальнейшем тем или иным способом компенсируют расходы боровшейся с аутсайдером фирмы.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1)%2."/>
      <w:lvlJc w:val="left"/>
      <w:pPr>
        <w:ind w:left="360" w:hanging="360"/>
      </w:pPr>
      <w:rPr/>
    </w:lvl>
    <w:lvl w:ilvl="2">
      <w:start w:val="1"/>
      <w:numFmt w:val="decimal"/>
      <w:lvlText w:val="%1)%2.%3."/>
      <w:lvlJc w:val="left"/>
      <w:pPr>
        <w:ind w:left="720" w:hanging="720"/>
      </w:pPr>
      <w:rPr/>
    </w:lvl>
    <w:lvl w:ilvl="3">
      <w:start w:val="1"/>
      <w:numFmt w:val="decimal"/>
      <w:lvlText w:val="%1)%2.%3.%4."/>
      <w:lvlJc w:val="left"/>
      <w:pPr>
        <w:ind w:left="720" w:hanging="720"/>
      </w:pPr>
      <w:rPr/>
    </w:lvl>
    <w:lvl w:ilvl="4">
      <w:start w:val="1"/>
      <w:numFmt w:val="decimal"/>
      <w:lvlText w:val="%1)%2.%3.%4.%5."/>
      <w:lvlJc w:val="left"/>
      <w:pPr>
        <w:ind w:left="1080" w:hanging="1080"/>
      </w:pPr>
      <w:rPr/>
    </w:lvl>
    <w:lvl w:ilvl="5">
      <w:start w:val="1"/>
      <w:numFmt w:val="decimal"/>
      <w:lvlText w:val="%1)%2.%3.%4.%5.%6."/>
      <w:lvlJc w:val="left"/>
      <w:pPr>
        <w:ind w:left="1080" w:hanging="1080"/>
      </w:pPr>
      <w:rPr/>
    </w:lvl>
    <w:lvl w:ilvl="6">
      <w:start w:val="1"/>
      <w:numFmt w:val="decimal"/>
      <w:lvlText w:val="%1)%2.%3.%4.%5.%6.%7."/>
      <w:lvlJc w:val="left"/>
      <w:pPr>
        <w:ind w:left="1080" w:hanging="1080"/>
      </w:pPr>
      <w:rPr/>
    </w:lvl>
    <w:lvl w:ilvl="7">
      <w:start w:val="1"/>
      <w:numFmt w:val="decimal"/>
      <w:lvlText w:val="%1)%2.%3.%4.%5.%6.%7.%8."/>
      <w:lvlJc w:val="left"/>
      <w:pPr>
        <w:ind w:left="1440" w:hanging="1440"/>
      </w:pPr>
      <w:rPr/>
    </w:lvl>
    <w:lvl w:ilvl="8">
      <w:start w:val="1"/>
      <w:numFmt w:val="decimal"/>
      <w:lvlText w:val="%1)%2.%3.%4.%5.%6.%7.%8.%9."/>
      <w:lvlJc w:val="left"/>
      <w:pPr>
        <w:ind w:left="1440" w:hanging="144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