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39" w:rsidRDefault="00333439" w:rsidP="003334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3</w:t>
      </w:r>
    </w:p>
    <w:p w:rsidR="00333439" w:rsidRDefault="00333439" w:rsidP="00333439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Вывод:</w:t>
      </w:r>
    </w:p>
    <w:p w:rsidR="00333439" w:rsidRDefault="00333439" w:rsidP="00333439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Происходит увеличение нормы входа на рынок, темп роста в отчётном году составил 122,06%, это говорит о том, что барьеры входа на рынок уменьшились. Вследствие этого происходит увеличение нормы проникновения (темп роста в отчётном году 110,48%), что говорит об уменьшении концентрации на рынке.</w:t>
      </w:r>
    </w:p>
    <w:p w:rsidR="00333439" w:rsidRDefault="00333439" w:rsidP="00333439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Банки продолжают отходить от кризиса. Увеличился объем депозитов, размещенных россиянами на счетах в кредитных организациях. Идет борьба за новые денежные вливания со стороны </w:t>
      </w:r>
      <w:proofErr w:type="spellStart"/>
      <w:proofErr w:type="gramStart"/>
      <w:r>
        <w:rPr>
          <w:rFonts w:ascii="Georgia" w:hAnsi="Georgia"/>
          <w:color w:val="000000"/>
        </w:rPr>
        <w:t>физ.лиц</w:t>
      </w:r>
      <w:proofErr w:type="spellEnd"/>
      <w:proofErr w:type="gramEnd"/>
      <w:r>
        <w:rPr>
          <w:rFonts w:ascii="Georgia" w:hAnsi="Georgia"/>
          <w:color w:val="000000"/>
        </w:rPr>
        <w:t>: на поле боя выступили региональные игроки. Частично восстановились и даже выросли активы у ряда банков, в ход пошло кредитование бизнеса и физических лиц. Заговорили об оживлении ипотечного рынка и даже о выпуске ипотечных облигаций. Правда вот, структура прироста капитала в банковском секторе остается в некотором «посткризисном» состоянии: основную массу прироста этого показателя дал уставный капитал и пресловутые «</w:t>
      </w:r>
      <w:proofErr w:type="spellStart"/>
      <w:r>
        <w:rPr>
          <w:rFonts w:ascii="Georgia" w:hAnsi="Georgia"/>
          <w:color w:val="000000"/>
        </w:rPr>
        <w:t>суборды</w:t>
      </w:r>
      <w:proofErr w:type="spellEnd"/>
      <w:r>
        <w:rPr>
          <w:rFonts w:ascii="Georgia" w:hAnsi="Georgia"/>
          <w:color w:val="000000"/>
        </w:rPr>
        <w:t>». Но эксперты уверены, что и тут ситуация налаживается. Ведь, если сделать сноску на кризис 2008-2009 годов, в приросте капитала уже более 10% приходится на прибыль банковской системы. А это совсем немало. Так как новых государственных вливаний не предвидится, банки начнут более активно зарабатывать, используя разные рыночные инструменты. Следовательно, роль прибыли в структуре капитала станет более значимой.</w:t>
      </w:r>
    </w:p>
    <w:p w:rsidR="00333439" w:rsidRDefault="00333439" w:rsidP="00333439">
      <w:pPr>
        <w:pStyle w:val="a3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начала кризиса банковские активы выросли на 22%. Такой ощутимый прирост был достигнут, в основном, за счет валютной составляющей, в том числе, за счет роста курса основных валют. Рублевая же часть банковских активов в целом по системе увеличилась лишь на 18%. При этом, хотя все банковские группы показали в сумме рост активов, у значительного их числа (около 30%) наблюдается снижение. Кроме того, у многих кредитных организаций снизился объем рублевых активов (около 40%).</w:t>
      </w:r>
    </w:p>
    <w:p w:rsidR="00333439" w:rsidRDefault="00333439" w:rsidP="00333439"/>
    <w:p w:rsidR="009E597F" w:rsidRDefault="009E597F">
      <w:bookmarkStart w:id="0" w:name="_GoBack"/>
      <w:bookmarkEnd w:id="0"/>
    </w:p>
    <w:sectPr w:rsidR="009E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CE"/>
    <w:rsid w:val="00333439"/>
    <w:rsid w:val="009E597F"/>
    <w:rsid w:val="00C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57CE-D7C8-4FF6-AB7C-DAAD9879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2020-04-27T06:48:00Z</dcterms:created>
  <dcterms:modified xsi:type="dcterms:W3CDTF">2020-04-27T06:48:00Z</dcterms:modified>
</cp:coreProperties>
</file>