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Pr="00C35523" w:rsidRDefault="008306D4" w:rsidP="00C35523">
      <w:pPr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 xml:space="preserve">Модуль 2. </w:t>
      </w:r>
      <w:r w:rsidR="00C35523">
        <w:rPr>
          <w:rFonts w:ascii="Arial" w:hAnsi="Arial" w:cs="Arial"/>
          <w:b/>
          <w:lang w:val="tt-RU"/>
        </w:rPr>
        <w:t>Домашнее задание №2.</w:t>
      </w:r>
    </w:p>
    <w:p w:rsidR="00C35523" w:rsidRPr="008306D4" w:rsidRDefault="00C35523" w:rsidP="00C35523">
      <w:pPr>
        <w:rPr>
          <w:rFonts w:ascii="Arial" w:hAnsi="Arial" w:cs="Arial"/>
          <w:b/>
          <w:lang w:val="tt-RU"/>
        </w:rPr>
      </w:pPr>
      <w:r w:rsidRPr="008306D4">
        <w:rPr>
          <w:rFonts w:ascii="Arial" w:hAnsi="Arial" w:cs="Arial"/>
          <w:b/>
          <w:lang w:val="tt-RU"/>
        </w:rPr>
        <w:t>Задача.</w:t>
      </w:r>
    </w:p>
    <w:p w:rsidR="00C35523" w:rsidRPr="00C35523" w:rsidRDefault="00C35523" w:rsidP="00C35523">
      <w:pPr>
        <w:rPr>
          <w:rFonts w:ascii="Arial" w:hAnsi="Arial" w:cs="Arial"/>
          <w:shd w:val="clear" w:color="auto" w:fill="FFFFFF"/>
          <w:lang w:val="tt-RU"/>
        </w:rPr>
      </w:pPr>
      <w:r w:rsidRPr="00C35523">
        <w:rPr>
          <w:rFonts w:ascii="Arial" w:hAnsi="Arial" w:cs="Arial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C35523">
        <w:rPr>
          <w:rFonts w:ascii="Arial" w:hAnsi="Arial" w:cs="Arial"/>
          <w:shd w:val="clear" w:color="auto" w:fill="FFFFFF"/>
        </w:rPr>
        <w:t>сказать</w:t>
      </w:r>
      <w:proofErr w:type="gramEnd"/>
      <w:r w:rsidRPr="00C35523">
        <w:rPr>
          <w:rFonts w:ascii="Arial" w:hAnsi="Arial" w:cs="Arial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C35523" w:rsidRDefault="00C35523" w:rsidP="00C35523">
      <w:pPr>
        <w:rPr>
          <w:rFonts w:ascii="Arial" w:hAnsi="Arial" w:cs="Arial"/>
        </w:rPr>
      </w:pPr>
      <w:r w:rsidRPr="008306D4">
        <w:rPr>
          <w:rFonts w:ascii="Arial" w:hAnsi="Arial" w:cs="Arial"/>
          <w:b/>
          <w:shd w:val="clear" w:color="auto" w:fill="FFFFFF"/>
          <w:lang w:val="tt-RU"/>
        </w:rPr>
        <w:t>Решение:</w:t>
      </w:r>
      <w:r w:rsidRPr="00C35523">
        <w:rPr>
          <w:rFonts w:ascii="Arial" w:hAnsi="Arial" w:cs="Arial"/>
          <w:shd w:val="clear" w:color="auto" w:fill="FFFFFF"/>
          <w:lang w:val="tt-RU"/>
        </w:rPr>
        <w:t xml:space="preserve"> </w:t>
      </w:r>
      <w:r w:rsidRPr="00C35523">
        <w:rPr>
          <w:rFonts w:ascii="Arial" w:hAnsi="Arial" w:cs="Arial"/>
          <w:lang w:val="en-US"/>
        </w:rPr>
        <w:t>Epd</w:t>
      </w:r>
      <w:r w:rsidRPr="00C35523">
        <w:rPr>
          <w:rFonts w:ascii="Arial" w:hAnsi="Arial" w:cs="Arial"/>
        </w:rPr>
        <w:t xml:space="preserve"> = (10/</w:t>
      </w:r>
      <w:r w:rsidRPr="00C35523">
        <w:rPr>
          <w:rFonts w:ascii="Arial" w:hAnsi="Arial" w:cs="Arial"/>
          <w:lang w:val="tt-RU"/>
        </w:rPr>
        <w:t>(20-5)</w:t>
      </w:r>
      <w:r w:rsidRPr="00C35523">
        <w:rPr>
          <w:rFonts w:ascii="Arial" w:hAnsi="Arial" w:cs="Arial"/>
        </w:rPr>
        <w:t>)/</w:t>
      </w:r>
      <w:r w:rsidRPr="00C35523">
        <w:rPr>
          <w:rFonts w:ascii="Arial" w:hAnsi="Arial" w:cs="Arial"/>
          <w:lang w:val="tt-RU"/>
        </w:rPr>
        <w:t>(</w:t>
      </w:r>
      <w:r w:rsidRPr="00C35523">
        <w:rPr>
          <w:rFonts w:ascii="Arial" w:hAnsi="Arial" w:cs="Arial"/>
        </w:rPr>
        <w:t>(</w:t>
      </w:r>
      <w:r w:rsidRPr="00C35523">
        <w:rPr>
          <w:rFonts w:ascii="Arial" w:hAnsi="Arial" w:cs="Arial"/>
          <w:lang w:val="tt-RU"/>
        </w:rPr>
        <w:t>40-5)</w:t>
      </w:r>
      <w:r w:rsidRPr="00C35523">
        <w:rPr>
          <w:rFonts w:ascii="Arial" w:hAnsi="Arial" w:cs="Arial"/>
        </w:rPr>
        <w:t>/22,5)=0,4 –&gt; спрос неэластичен</w:t>
      </w:r>
      <w:r w:rsidR="008306D4">
        <w:rPr>
          <w:rFonts w:ascii="Arial" w:hAnsi="Arial" w:cs="Arial"/>
        </w:rPr>
        <w:t>(так как меньше 1)</w:t>
      </w:r>
    </w:p>
    <w:p w:rsidR="008306D4" w:rsidRPr="008306D4" w:rsidRDefault="008306D4" w:rsidP="00C355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Ответ:0,4</w:t>
      </w:r>
    </w:p>
    <w:p w:rsidR="008306D4" w:rsidRDefault="00C35523" w:rsidP="008306D4">
      <w:pPr>
        <w:rPr>
          <w:rFonts w:ascii="Times New Roman" w:hAnsi="Times New Roman" w:cs="Times New Roman"/>
          <w:sz w:val="24"/>
        </w:rPr>
      </w:pPr>
      <w:r w:rsidRPr="00C35523">
        <w:rPr>
          <w:rFonts w:ascii="Arial" w:hAnsi="Arial" w:cs="Arial"/>
          <w:b/>
          <w:lang w:val="tt-RU"/>
        </w:rPr>
        <w:t>Кейс 3.</w:t>
      </w:r>
      <w:r w:rsidR="008306D4">
        <w:rPr>
          <w:rFonts w:ascii="Arial" w:hAnsi="Arial" w:cs="Arial"/>
          <w:b/>
          <w:lang w:val="tt-RU"/>
        </w:rPr>
        <w:t xml:space="preserve"> </w:t>
      </w:r>
      <w:r w:rsidR="008306D4">
        <w:rPr>
          <w:rFonts w:ascii="Times New Roman" w:hAnsi="Times New Roman" w:cs="Times New Roman"/>
          <w:b/>
          <w:sz w:val="24"/>
          <w:u w:val="single"/>
        </w:rPr>
        <w:t>.</w:t>
      </w:r>
      <w:r w:rsidR="008306D4">
        <w:rPr>
          <w:rFonts w:ascii="Times New Roman" w:hAnsi="Times New Roman" w:cs="Times New Roman"/>
          <w:sz w:val="24"/>
        </w:rPr>
        <w:t xml:space="preserve"> ЗАДАНИЕ ПО АНАЛИЗУ АНТИКАРТЕЛЬНЫХ ДЕЛ В ЕВРОПЕЙСКОЙ </w:t>
      </w:r>
      <w:bookmarkStart w:id="0" w:name="_GoBack"/>
      <w:bookmarkEnd w:id="0"/>
      <w:r w:rsidR="008306D4">
        <w:rPr>
          <w:rFonts w:ascii="Times New Roman" w:hAnsi="Times New Roman" w:cs="Times New Roman"/>
          <w:sz w:val="24"/>
        </w:rPr>
        <w:t xml:space="preserve">КОМИССИИ НА ОСНОВЕ ДАННЫХ. </w:t>
      </w:r>
    </w:p>
    <w:p w:rsidR="008306D4" w:rsidRPr="008306D4" w:rsidRDefault="008306D4" w:rsidP="008306D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Выберите случаи, по которым вынесено окончательное решение о наложении санкций (</w:t>
      </w:r>
      <w:proofErr w:type="spellStart"/>
      <w:r>
        <w:rPr>
          <w:rFonts w:ascii="Times New Roman" w:hAnsi="Times New Roman" w:cs="Times New Roman"/>
          <w:i/>
          <w:sz w:val="24"/>
        </w:rPr>
        <w:t>fines</w:t>
      </w:r>
      <w:proofErr w:type="spellEnd"/>
      <w:r>
        <w:rPr>
          <w:rFonts w:ascii="Times New Roman" w:hAnsi="Times New Roman" w:cs="Times New Roman"/>
          <w:i/>
          <w:sz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06D4" w:rsidRPr="008306D4" w:rsidRDefault="008306D4" w:rsidP="00C35523">
      <w:pPr>
        <w:rPr>
          <w:rFonts w:ascii="Arial" w:hAnsi="Arial" w:cs="Arial"/>
          <w:color w:val="000000"/>
        </w:rPr>
      </w:pPr>
      <w:r w:rsidRPr="008306D4">
        <w:rPr>
          <w:rFonts w:ascii="Arial" w:hAnsi="Arial" w:cs="Arial"/>
        </w:rPr>
        <w:t>Решение Комиссии по делу производителей профессиональных видеокассет</w:t>
      </w:r>
    </w:p>
    <w:p w:rsidR="00C35523" w:rsidRPr="00C35523" w:rsidRDefault="00C35523" w:rsidP="00C35523">
      <w:pPr>
        <w:rPr>
          <w:rFonts w:ascii="Arial" w:hAnsi="Arial" w:cs="Arial"/>
          <w:lang w:val="tt-RU"/>
        </w:rPr>
      </w:pPr>
      <w:r w:rsidRPr="00C35523">
        <w:rPr>
          <w:rFonts w:ascii="Arial" w:hAnsi="Arial" w:cs="Arial"/>
          <w:color w:val="000000"/>
          <w:lang w:val="tt-RU"/>
        </w:rPr>
        <w:t>1)</w:t>
      </w:r>
      <w:r w:rsidRPr="00C35523">
        <w:rPr>
          <w:rFonts w:ascii="Arial" w:hAnsi="Arial" w:cs="Arial"/>
          <w:color w:val="000000"/>
        </w:rPr>
        <w:t xml:space="preserve">Тип нарушения – </w:t>
      </w:r>
      <w:r w:rsidRPr="00C35523">
        <w:rPr>
          <w:rFonts w:ascii="Arial" w:hAnsi="Arial" w:cs="Arial"/>
          <w:color w:val="000000"/>
          <w:lang w:val="tt-RU"/>
        </w:rPr>
        <w:t>Ф</w:t>
      </w:r>
      <w:proofErr w:type="spellStart"/>
      <w:r w:rsidRPr="00C35523">
        <w:rPr>
          <w:rFonts w:ascii="Arial" w:hAnsi="Arial" w:cs="Arial"/>
          <w:color w:val="000000"/>
        </w:rPr>
        <w:t>иксированные</w:t>
      </w:r>
      <w:proofErr w:type="spellEnd"/>
      <w:r w:rsidRPr="00C35523">
        <w:rPr>
          <w:rFonts w:ascii="Arial" w:hAnsi="Arial" w:cs="Arial"/>
          <w:color w:val="000000"/>
        </w:rPr>
        <w:t xml:space="preserve"> цены</w:t>
      </w:r>
      <w:r w:rsidRPr="00C35523">
        <w:rPr>
          <w:rFonts w:ascii="Arial" w:hAnsi="Arial" w:cs="Arial"/>
          <w:color w:val="000000"/>
          <w:lang w:val="tt-RU"/>
        </w:rPr>
        <w:t>.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Антитраст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>: 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81). В период между 1999 и 2002 годами,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контролировали цены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Leniency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Notice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). Однако в данном случае освобождения от ответственности не было. Для расчета штрафов в данном деле Комиссия впервые применила новое Руководство </w:t>
      </w:r>
      <w:proofErr w:type="gramStart"/>
      <w:r w:rsidRPr="00C35523">
        <w:rPr>
          <w:rFonts w:ascii="Arial" w:hAnsi="Arial" w:cs="Arial"/>
          <w:color w:val="000000"/>
          <w:sz w:val="22"/>
          <w:szCs w:val="22"/>
        </w:rPr>
        <w:t>2006  .</w:t>
      </w:r>
      <w:proofErr w:type="gramEnd"/>
      <w:r w:rsidRPr="00C355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(€)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>Sony</w:t>
      </w:r>
      <w:proofErr w:type="spellEnd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>None</w:t>
      </w:r>
      <w:proofErr w:type="spellEnd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>None</w:t>
      </w:r>
      <w:proofErr w:type="spellEnd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47 190 000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>Fuji</w:t>
      </w:r>
      <w:proofErr w:type="spellEnd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40% 8 800 000 13 200 000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>Maxell</w:t>
      </w:r>
      <w:proofErr w:type="spellEnd"/>
      <w:r w:rsidRPr="00C35523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20% 3 600 000 14 400 000 Итого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C35523" w:rsidRPr="00C35523" w:rsidRDefault="00C35523" w:rsidP="00C35523">
      <w:pPr>
        <w:rPr>
          <w:rFonts w:ascii="Arial" w:hAnsi="Arial" w:cs="Arial"/>
          <w:lang w:val="tt-RU"/>
        </w:rPr>
      </w:pPr>
      <w:r w:rsidRPr="00C35523">
        <w:rPr>
          <w:rFonts w:ascii="Arial" w:hAnsi="Arial" w:cs="Arial"/>
        </w:rPr>
        <w:t>Тип нарушения – Разделение рынка</w:t>
      </w:r>
      <w:r w:rsidRPr="00C35523">
        <w:rPr>
          <w:rFonts w:ascii="Arial" w:hAnsi="Arial" w:cs="Arial"/>
          <w:lang w:val="tt-RU"/>
        </w:rPr>
        <w:t>.</w:t>
      </w:r>
    </w:p>
    <w:p w:rsidR="00C35523" w:rsidRPr="00C35523" w:rsidRDefault="00C35523" w:rsidP="00C35523">
      <w:pPr>
        <w:rPr>
          <w:rFonts w:ascii="Arial" w:hAnsi="Arial" w:cs="Arial"/>
          <w:color w:val="000000"/>
          <w:shd w:val="clear" w:color="auto" w:fill="FDFDFD"/>
        </w:rPr>
      </w:pPr>
      <w:r w:rsidRPr="00C35523">
        <w:rPr>
          <w:rFonts w:ascii="Arial" w:hAnsi="Arial" w:cs="Arial"/>
          <w:color w:val="000000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Heineken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Grolsch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Bavaria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 на общую сумму € 273 783 000 за создание картеля на рынке пива </w:t>
      </w:r>
      <w:r w:rsidRPr="00C35523">
        <w:rPr>
          <w:rFonts w:ascii="Arial" w:hAnsi="Arial" w:cs="Arial"/>
          <w:color w:val="000000"/>
          <w:shd w:val="clear" w:color="auto" w:fill="FDFDFD"/>
        </w:rPr>
        <w:lastRenderedPageBreak/>
        <w:t xml:space="preserve">в Нидерландах в нарушении Соглашения EC о запрете на картели и другие действия по ограничению рыночных отношений (Статья 81). Решение Комиссии включает группу компаний 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Heineken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Grolsch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Bavaria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>, вместе с 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InBev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C35523">
          <w:rPr>
            <w:rFonts w:ascii="Arial" w:hAnsi="Arial" w:cs="Arial"/>
            <w:color w:val="000000"/>
            <w:shd w:val="clear" w:color="auto" w:fill="FDFDFD"/>
          </w:rPr>
          <w:t>80 литров</w:t>
        </w:r>
      </w:smartTag>
      <w:r w:rsidRPr="00C35523">
        <w:rPr>
          <w:rFonts w:ascii="Arial" w:hAnsi="Arial" w:cs="Arial"/>
          <w:color w:val="000000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C35523">
        <w:rPr>
          <w:rFonts w:ascii="Arial" w:hAnsi="Arial" w:cs="Arial"/>
          <w:color w:val="000000"/>
          <w:shd w:val="clear" w:color="auto" w:fill="FDFDFD"/>
        </w:rPr>
        <w:t>InBev</w:t>
      </w:r>
      <w:proofErr w:type="spellEnd"/>
      <w:r w:rsidRPr="00C35523">
        <w:rPr>
          <w:rFonts w:ascii="Arial" w:hAnsi="Arial" w:cs="Arial"/>
          <w:color w:val="000000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C35523">
        <w:rPr>
          <w:rFonts w:ascii="Arial" w:hAnsi="Arial" w:cs="Arial"/>
          <w:color w:val="000000"/>
          <w:sz w:val="22"/>
          <w:szCs w:val="22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C35523">
        <w:rPr>
          <w:rFonts w:ascii="Arial" w:hAnsi="Arial" w:cs="Arial"/>
          <w:color w:val="000000"/>
          <w:sz w:val="22"/>
          <w:szCs w:val="22"/>
        </w:rPr>
        <w:t>Доказательства</w:t>
      </w:r>
      <w:r w:rsidRPr="00C35523">
        <w:rPr>
          <w:rFonts w:ascii="Arial" w:hAnsi="Arial" w:cs="Arial"/>
          <w:color w:val="000000"/>
          <w:sz w:val="22"/>
          <w:szCs w:val="22"/>
          <w:lang w:val="tt-RU"/>
        </w:rPr>
        <w:t>.</w:t>
      </w:r>
      <w:r w:rsidRPr="00C35523">
        <w:rPr>
          <w:rFonts w:ascii="Arial" w:hAnsi="Arial" w:cs="Arial"/>
          <w:color w:val="000000"/>
          <w:sz w:val="22"/>
          <w:szCs w:val="22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Grolsch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Bavaria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>.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 w:rsidRPr="00C35523">
        <w:rPr>
          <w:rFonts w:ascii="Arial" w:hAnsi="Arial" w:cs="Arial"/>
          <w:color w:val="000000"/>
          <w:sz w:val="22"/>
          <w:szCs w:val="22"/>
        </w:rPr>
        <w:t>Штрафы</w:t>
      </w:r>
      <w:r w:rsidRPr="00C35523">
        <w:rPr>
          <w:rFonts w:ascii="Arial" w:hAnsi="Arial" w:cs="Arial"/>
          <w:color w:val="000000"/>
          <w:sz w:val="22"/>
          <w:szCs w:val="22"/>
          <w:lang w:val="tt-RU"/>
        </w:rPr>
        <w:t xml:space="preserve">. </w:t>
      </w:r>
      <w:r w:rsidRPr="00C35523">
        <w:rPr>
          <w:rFonts w:ascii="Arial" w:hAnsi="Arial" w:cs="Arial"/>
          <w:color w:val="000000"/>
          <w:sz w:val="22"/>
          <w:szCs w:val="22"/>
        </w:rPr>
        <w:t xml:space="preserve">Рассмотренные случаи являются очень серьезным нарушением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антитрастовых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C35523" w:rsidRPr="00C35523" w:rsidRDefault="00C35523" w:rsidP="00C35523">
      <w:pPr>
        <w:rPr>
          <w:rFonts w:ascii="Arial" w:hAnsi="Arial" w:cs="Arial"/>
        </w:rPr>
      </w:pPr>
      <w:r w:rsidRPr="00C35523">
        <w:rPr>
          <w:rFonts w:ascii="Arial" w:hAnsi="Arial" w:cs="Arial"/>
          <w:lang w:val="tt-RU"/>
        </w:rPr>
        <w:t xml:space="preserve">2) </w:t>
      </w:r>
      <w:r w:rsidRPr="00C35523">
        <w:rPr>
          <w:rFonts w:ascii="Arial" w:hAnsi="Arial" w:cs="Arial"/>
        </w:rPr>
        <w:t>1. В случае с видеокассетами программа не использовалась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C35523">
        <w:rPr>
          <w:rFonts w:ascii="Arial" w:hAnsi="Arial" w:cs="Arial"/>
          <w:sz w:val="22"/>
          <w:szCs w:val="22"/>
        </w:rPr>
        <w:t xml:space="preserve">2. Во втором случае в Нидерландах </w:t>
      </w:r>
      <w:r w:rsidRPr="00C35523">
        <w:rPr>
          <w:rFonts w:ascii="Arial" w:hAnsi="Arial" w:cs="Arial"/>
          <w:color w:val="000000"/>
          <w:sz w:val="22"/>
          <w:szCs w:val="22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C35523">
        <w:rPr>
          <w:rFonts w:ascii="Arial" w:hAnsi="Arial" w:cs="Arial"/>
          <w:color w:val="000000"/>
          <w:sz w:val="22"/>
          <w:szCs w:val="22"/>
        </w:rPr>
        <w:t xml:space="preserve"> (%) Уменьшение штрафа в соответствии с Уведомлением о снисхождении</w:t>
      </w:r>
    </w:p>
    <w:p w:rsidR="00C35523" w:rsidRP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 w:rsidRPr="00C35523">
        <w:rPr>
          <w:rFonts w:ascii="Arial" w:hAnsi="Arial" w:cs="Arial"/>
          <w:color w:val="000000"/>
          <w:sz w:val="22"/>
          <w:szCs w:val="22"/>
        </w:rPr>
        <w:t>(€) Особые вычеты (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euros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>) Штраф (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euros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NV (NL) &amp;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BV (NL)(*) 0 0 100 000 219 275 000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NV (B) &amp;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NV (NL)(*) 100 84 375 000 0 0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Grolsch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NV (NL) 0 0 100 000 31 658 000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Bavaria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 NV (NL) 0 0 100 000 22 850 000 Итого 273 783 000 (*) Совместная и индивидуальная ответственность Действия в случае убытков Любой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</w:t>
      </w:r>
      <w:r w:rsidRPr="00C35523">
        <w:rPr>
          <w:rFonts w:ascii="Arial" w:hAnsi="Arial" w:cs="Arial"/>
          <w:color w:val="000000"/>
          <w:sz w:val="22"/>
          <w:szCs w:val="22"/>
        </w:rPr>
        <w:lastRenderedPageBreak/>
        <w:t>Комиссия оштрафовала заинтересованные компании, убытки можно востребовать без уменьшения из-за штрафа Комиссии.</w:t>
      </w:r>
    </w:p>
    <w:p w:rsidR="00C35523" w:rsidRPr="00C35523" w:rsidRDefault="00C35523" w:rsidP="00C35523">
      <w:pPr>
        <w:pStyle w:val="a3"/>
        <w:numPr>
          <w:ilvl w:val="1"/>
          <w:numId w:val="1"/>
        </w:numPr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 w:rsidRPr="00C35523">
        <w:rPr>
          <w:rFonts w:ascii="Arial" w:hAnsi="Arial" w:cs="Arial"/>
          <w:color w:val="000000"/>
          <w:sz w:val="22"/>
          <w:szCs w:val="22"/>
        </w:rPr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 .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C35523" w:rsidRPr="00C35523" w:rsidRDefault="00C35523" w:rsidP="00C35523">
      <w:pPr>
        <w:pStyle w:val="a3"/>
        <w:numPr>
          <w:ilvl w:val="0"/>
          <w:numId w:val="2"/>
        </w:numPr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 w:rsidRPr="00C35523">
        <w:rPr>
          <w:rFonts w:ascii="Arial" w:hAnsi="Arial" w:cs="Arial"/>
          <w:color w:val="000000"/>
          <w:sz w:val="22"/>
          <w:szCs w:val="22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чистыи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C35523">
        <w:rPr>
          <w:rFonts w:ascii="Arial" w:hAnsi="Arial" w:cs="Arial"/>
          <w:color w:val="000000"/>
          <w:sz w:val="22"/>
          <w:szCs w:val="22"/>
        </w:rPr>
        <w:t>Транснефти</w:t>
      </w:r>
      <w:proofErr w:type="spellEnd"/>
      <w:r w:rsidRPr="00C35523">
        <w:rPr>
          <w:rFonts w:ascii="Arial" w:hAnsi="Arial" w:cs="Arial"/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C35523" w:rsidRPr="00C35523" w:rsidRDefault="00C35523" w:rsidP="00C35523">
      <w:pPr>
        <w:pStyle w:val="a4"/>
        <w:numPr>
          <w:ilvl w:val="0"/>
          <w:numId w:val="2"/>
        </w:numPr>
        <w:spacing w:before="100" w:beforeAutospacing="1" w:after="24" w:line="360" w:lineRule="atLeast"/>
        <w:rPr>
          <w:rFonts w:ascii="Arial" w:hAnsi="Arial" w:cs="Arial"/>
          <w:color w:val="000000"/>
        </w:rPr>
      </w:pPr>
      <w:r w:rsidRPr="00C35523">
        <w:rPr>
          <w:rFonts w:ascii="Arial" w:hAnsi="Arial" w:cs="Arial"/>
          <w:color w:val="000000"/>
        </w:rPr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C35523" w:rsidRPr="00C35523" w:rsidRDefault="00C35523" w:rsidP="00C35523">
      <w:pPr>
        <w:numPr>
          <w:ilvl w:val="0"/>
          <w:numId w:val="2"/>
        </w:numPr>
        <w:spacing w:before="100" w:beforeAutospacing="1" w:after="24" w:line="360" w:lineRule="atLeast"/>
        <w:ind w:left="877"/>
        <w:rPr>
          <w:rFonts w:ascii="Arial" w:hAnsi="Arial" w:cs="Arial"/>
          <w:color w:val="000000"/>
        </w:rPr>
      </w:pPr>
      <w:r w:rsidRPr="00C35523">
        <w:rPr>
          <w:rFonts w:ascii="Arial" w:hAnsi="Arial" w:cs="Arial"/>
          <w:color w:val="000000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cs="Arial"/>
          <w:color w:val="000000"/>
          <w:sz w:val="28"/>
          <w:szCs w:val="28"/>
          <w:lang w:val="tt-RU"/>
        </w:rPr>
      </w:pPr>
    </w:p>
    <w:p w:rsidR="007E3E98" w:rsidRPr="00C35523" w:rsidRDefault="007E3E98">
      <w:pPr>
        <w:rPr>
          <w:lang w:val="tt-RU"/>
        </w:rPr>
      </w:pPr>
    </w:p>
    <w:sectPr w:rsidR="007E3E98" w:rsidRPr="00C3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 w15:restartNumberingAfterBreak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A"/>
    <w:rsid w:val="007E3E98"/>
    <w:rsid w:val="008306D4"/>
    <w:rsid w:val="00C35523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F6D50"/>
  <w15:chartTrackingRefBased/>
  <w15:docId w15:val="{9A78B596-6736-42C1-8692-AB81371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3</cp:revision>
  <dcterms:created xsi:type="dcterms:W3CDTF">2020-03-22T10:34:00Z</dcterms:created>
  <dcterms:modified xsi:type="dcterms:W3CDTF">2020-03-22T10:40:00Z</dcterms:modified>
</cp:coreProperties>
</file>