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23" w:rsidRPr="00DE4F14" w:rsidRDefault="008306D4" w:rsidP="00C35523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E4F14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Модуль 2. </w:t>
      </w:r>
      <w:r w:rsidR="00C35523" w:rsidRPr="00DE4F14">
        <w:rPr>
          <w:rFonts w:ascii="Times New Roman" w:hAnsi="Times New Roman" w:cs="Times New Roman"/>
          <w:b/>
          <w:sz w:val="24"/>
          <w:szCs w:val="24"/>
          <w:lang w:val="tt-RU"/>
        </w:rPr>
        <w:t>Домашнее задание №2.</w:t>
      </w:r>
    </w:p>
    <w:p w:rsidR="00C35523" w:rsidRPr="00DE4F14" w:rsidRDefault="00DE4F14" w:rsidP="00C35523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Задача</w:t>
      </w:r>
    </w:p>
    <w:p w:rsidR="00DE4F14" w:rsidRDefault="00C35523" w:rsidP="000054E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DE4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цене 5 рублей объем спроса на товар составляет 20 единиц, а при цене 40 рублей- 10 единиц. Можно ли </w:t>
      </w:r>
      <w:r w:rsidR="00DE4F14" w:rsidRPr="00DE4F14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</w:t>
      </w:r>
      <w:r w:rsidRPr="00DE4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 данном диапазоне цен спрос на товар является эластичным.</w:t>
      </w:r>
    </w:p>
    <w:p w:rsidR="00DE4F14" w:rsidRDefault="00C35523" w:rsidP="00C3552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DE4F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Решение:</w:t>
      </w:r>
      <w:r w:rsidRPr="00DE4F14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</w:p>
    <w:p w:rsidR="00C35523" w:rsidRPr="00DE4F14" w:rsidRDefault="00DE4F14" w:rsidP="00C3552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        </w:t>
      </w:r>
      <w:r w:rsidR="00C35523" w:rsidRPr="00DE4F14">
        <w:rPr>
          <w:rFonts w:ascii="Times New Roman" w:hAnsi="Times New Roman" w:cs="Times New Roman"/>
          <w:sz w:val="24"/>
          <w:szCs w:val="24"/>
          <w:lang w:val="en-US"/>
        </w:rPr>
        <w:t>Epd</w:t>
      </w:r>
      <w:r w:rsidR="00C35523" w:rsidRPr="00DE4F14">
        <w:rPr>
          <w:rFonts w:ascii="Times New Roman" w:hAnsi="Times New Roman" w:cs="Times New Roman"/>
          <w:sz w:val="24"/>
          <w:szCs w:val="24"/>
        </w:rPr>
        <w:t xml:space="preserve"> = (10</w:t>
      </w:r>
      <w:r w:rsidRPr="00DE4F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14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C35523" w:rsidRPr="00DE4F14">
        <w:rPr>
          <w:rFonts w:ascii="Times New Roman" w:hAnsi="Times New Roman" w:cs="Times New Roman"/>
          <w:sz w:val="24"/>
          <w:szCs w:val="24"/>
          <w:lang w:val="tt-RU"/>
        </w:rPr>
        <w:t>20-5)</w:t>
      </w:r>
      <w:r w:rsidR="00C35523" w:rsidRPr="00DE4F14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523" w:rsidRPr="00DE4F14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C35523" w:rsidRPr="00DE4F14">
        <w:rPr>
          <w:rFonts w:ascii="Times New Roman" w:hAnsi="Times New Roman" w:cs="Times New Roman"/>
          <w:sz w:val="24"/>
          <w:szCs w:val="24"/>
        </w:rPr>
        <w:t>(</w:t>
      </w:r>
      <w:r w:rsidR="00C35523" w:rsidRPr="00DE4F14">
        <w:rPr>
          <w:rFonts w:ascii="Times New Roman" w:hAnsi="Times New Roman" w:cs="Times New Roman"/>
          <w:sz w:val="24"/>
          <w:szCs w:val="24"/>
          <w:lang w:val="tt-RU"/>
        </w:rPr>
        <w:t>40-5)</w:t>
      </w:r>
      <w:r w:rsidR="00C35523" w:rsidRPr="00DE4F14">
        <w:rPr>
          <w:rFonts w:ascii="Times New Roman" w:hAnsi="Times New Roman" w:cs="Times New Roman"/>
          <w:sz w:val="24"/>
          <w:szCs w:val="24"/>
        </w:rPr>
        <w:t>/22,5)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C35523" w:rsidRPr="00DE4F14">
        <w:rPr>
          <w:rFonts w:ascii="Times New Roman" w:hAnsi="Times New Roman" w:cs="Times New Roman"/>
          <w:sz w:val="24"/>
          <w:szCs w:val="24"/>
        </w:rPr>
        <w:t>0,4 –&gt; спрос неэластичен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D4" w:rsidRPr="00DE4F14">
        <w:rPr>
          <w:rFonts w:ascii="Times New Roman" w:hAnsi="Times New Roman" w:cs="Times New Roman"/>
          <w:sz w:val="24"/>
          <w:szCs w:val="24"/>
        </w:rPr>
        <w:t>(так как меньше 1)</w:t>
      </w:r>
    </w:p>
    <w:p w:rsidR="008306D4" w:rsidRDefault="008306D4" w:rsidP="00C35523">
      <w:pPr>
        <w:rPr>
          <w:rFonts w:ascii="Times New Roman" w:hAnsi="Times New Roman" w:cs="Times New Roman"/>
          <w:b/>
          <w:sz w:val="24"/>
          <w:szCs w:val="24"/>
        </w:rPr>
      </w:pPr>
      <w:r w:rsidRPr="00DE4F14">
        <w:rPr>
          <w:rFonts w:ascii="Times New Roman" w:hAnsi="Times New Roman" w:cs="Times New Roman"/>
          <w:b/>
          <w:sz w:val="24"/>
          <w:szCs w:val="24"/>
        </w:rPr>
        <w:t>Ответ:0,4</w:t>
      </w:r>
    </w:p>
    <w:p w:rsidR="009E6A50" w:rsidRDefault="009E6A50" w:rsidP="00C35523">
      <w:pPr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9E6A50" w:rsidRPr="00DE4F14" w:rsidRDefault="009E6A50" w:rsidP="00C355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КЕЙС 3. Задание по анализу антикартельных дел в Европейской комиссии на основе данных</w:t>
      </w:r>
    </w:p>
    <w:p w:rsidR="008306D4" w:rsidRPr="000054EA" w:rsidRDefault="008306D4" w:rsidP="000054EA">
      <w:pPr>
        <w:pStyle w:val="a4"/>
        <w:numPr>
          <w:ilvl w:val="0"/>
          <w:numId w:val="5"/>
        </w:numPr>
        <w:rPr>
          <w:rFonts w:ascii="Helvetica" w:hAnsi="Helvetica" w:cs="Times New Roman"/>
          <w:b/>
          <w:i/>
          <w:sz w:val="28"/>
          <w:szCs w:val="28"/>
        </w:rPr>
      </w:pPr>
      <w:r w:rsidRPr="000054EA">
        <w:rPr>
          <w:rFonts w:ascii="Helvetica" w:hAnsi="Helvetica" w:cs="Times New Roman"/>
          <w:b/>
          <w:i/>
          <w:sz w:val="28"/>
          <w:szCs w:val="28"/>
        </w:rPr>
        <w:t>Выберите случаи, по которым вынесено окончательное решение о наложении санкций (</w:t>
      </w:r>
      <w:proofErr w:type="spellStart"/>
      <w:r w:rsidRPr="000054EA">
        <w:rPr>
          <w:rFonts w:ascii="Helvetica" w:hAnsi="Helvetica" w:cs="Times New Roman"/>
          <w:b/>
          <w:i/>
          <w:sz w:val="28"/>
          <w:szCs w:val="28"/>
        </w:rPr>
        <w:t>fines</w:t>
      </w:r>
      <w:proofErr w:type="spellEnd"/>
      <w:r w:rsidRPr="000054EA">
        <w:rPr>
          <w:rFonts w:ascii="Helvetica" w:hAnsi="Helvetica" w:cs="Times New Roman"/>
          <w:b/>
          <w:i/>
          <w:sz w:val="28"/>
          <w:szCs w:val="28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8306D4" w:rsidRPr="00DE4F14" w:rsidRDefault="008306D4" w:rsidP="00C355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4F14">
        <w:rPr>
          <w:rFonts w:ascii="Times New Roman" w:hAnsi="Times New Roman" w:cs="Times New Roman"/>
          <w:sz w:val="24"/>
          <w:szCs w:val="24"/>
        </w:rPr>
        <w:t>Решение Комиссии по делу производителей профессиональных видеокассет</w:t>
      </w:r>
    </w:p>
    <w:p w:rsidR="00C35523" w:rsidRPr="00DE4F14" w:rsidRDefault="00C35523" w:rsidP="00C3552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E4F14">
        <w:rPr>
          <w:rFonts w:ascii="Times New Roman" w:hAnsi="Times New Roman" w:cs="Times New Roman"/>
          <w:color w:val="000000"/>
          <w:sz w:val="24"/>
          <w:szCs w:val="24"/>
          <w:lang w:val="tt-RU"/>
        </w:rPr>
        <w:t>1)</w:t>
      </w:r>
      <w:r w:rsidRPr="00DE4F14">
        <w:rPr>
          <w:rFonts w:ascii="Times New Roman" w:hAnsi="Times New Roman" w:cs="Times New Roman"/>
          <w:color w:val="000000"/>
          <w:sz w:val="24"/>
          <w:szCs w:val="24"/>
        </w:rPr>
        <w:t xml:space="preserve">Тип нарушения – </w:t>
      </w:r>
      <w:r w:rsidR="00DE4F1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DE4F14" w:rsidRPr="00DE4F14">
        <w:rPr>
          <w:rFonts w:ascii="Times New Roman" w:hAnsi="Times New Roman" w:cs="Times New Roman"/>
          <w:color w:val="000000"/>
          <w:sz w:val="24"/>
          <w:szCs w:val="24"/>
        </w:rPr>
        <w:t>иксированные</w:t>
      </w:r>
      <w:r w:rsidRPr="00DE4F14">
        <w:rPr>
          <w:rFonts w:ascii="Times New Roman" w:hAnsi="Times New Roman" w:cs="Times New Roman"/>
          <w:color w:val="000000"/>
          <w:sz w:val="24"/>
          <w:szCs w:val="24"/>
        </w:rPr>
        <w:t xml:space="preserve"> цены</w:t>
      </w:r>
      <w:r w:rsidRPr="00DE4F14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</w:p>
    <w:p w:rsidR="00C35523" w:rsidRPr="00DE4F14" w:rsidRDefault="00C35523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708"/>
        <w:rPr>
          <w:color w:val="000000"/>
        </w:rPr>
      </w:pPr>
      <w:proofErr w:type="spellStart"/>
      <w:r w:rsidRPr="00DE4F14">
        <w:rPr>
          <w:color w:val="000000"/>
        </w:rPr>
        <w:t>Антитраст</w:t>
      </w:r>
      <w:proofErr w:type="spellEnd"/>
      <w:r w:rsidRPr="00DE4F14">
        <w:rPr>
          <w:color w:val="000000"/>
        </w:rPr>
        <w:t>: 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DE4F14">
        <w:rPr>
          <w:color w:val="000000"/>
        </w:rPr>
        <w:t>Sony</w:t>
      </w:r>
      <w:proofErr w:type="spellEnd"/>
      <w:r w:rsidRPr="00DE4F14">
        <w:rPr>
          <w:color w:val="000000"/>
        </w:rPr>
        <w:t xml:space="preserve">, </w:t>
      </w:r>
      <w:proofErr w:type="spellStart"/>
      <w:r w:rsidRPr="00DE4F14">
        <w:rPr>
          <w:color w:val="000000"/>
        </w:rPr>
        <w:t>Fuji</w:t>
      </w:r>
      <w:proofErr w:type="spellEnd"/>
      <w:r w:rsidRPr="00DE4F14">
        <w:rPr>
          <w:color w:val="000000"/>
        </w:rPr>
        <w:t xml:space="preserve"> и </w:t>
      </w:r>
      <w:proofErr w:type="spellStart"/>
      <w:r w:rsidRPr="00DE4F14">
        <w:rPr>
          <w:color w:val="000000"/>
        </w:rPr>
        <w:t>Maxell</w:t>
      </w:r>
      <w:proofErr w:type="spellEnd"/>
      <w:r w:rsidRPr="00DE4F14">
        <w:rPr>
          <w:color w:val="000000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81). В период между 1999 и 2002 годами, </w:t>
      </w:r>
      <w:proofErr w:type="spellStart"/>
      <w:r w:rsidRPr="00DE4F14">
        <w:rPr>
          <w:color w:val="000000"/>
        </w:rPr>
        <w:t>Sony</w:t>
      </w:r>
      <w:proofErr w:type="spellEnd"/>
      <w:r w:rsidRPr="00DE4F14">
        <w:rPr>
          <w:color w:val="000000"/>
        </w:rPr>
        <w:t xml:space="preserve">, </w:t>
      </w:r>
      <w:proofErr w:type="spellStart"/>
      <w:r w:rsidRPr="00DE4F14">
        <w:rPr>
          <w:color w:val="000000"/>
        </w:rPr>
        <w:t>Fuji</w:t>
      </w:r>
      <w:proofErr w:type="spellEnd"/>
      <w:r w:rsidRPr="00DE4F14">
        <w:rPr>
          <w:color w:val="000000"/>
        </w:rPr>
        <w:t xml:space="preserve"> и </w:t>
      </w:r>
      <w:proofErr w:type="spellStart"/>
      <w:r w:rsidRPr="00DE4F14">
        <w:rPr>
          <w:color w:val="000000"/>
        </w:rPr>
        <w:t>Maxell</w:t>
      </w:r>
      <w:proofErr w:type="spellEnd"/>
      <w:r w:rsidRPr="00DE4F14">
        <w:rPr>
          <w:color w:val="000000"/>
        </w:rPr>
        <w:t xml:space="preserve"> контролировали цены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DE4F14">
        <w:rPr>
          <w:color w:val="000000"/>
        </w:rPr>
        <w:t>Sony</w:t>
      </w:r>
      <w:proofErr w:type="spellEnd"/>
      <w:r w:rsidRPr="00DE4F14">
        <w:rPr>
          <w:color w:val="000000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DE4F14">
        <w:rPr>
          <w:color w:val="000000"/>
        </w:rPr>
        <w:t>Fuji</w:t>
      </w:r>
      <w:proofErr w:type="spellEnd"/>
      <w:r w:rsidRPr="00DE4F14">
        <w:rPr>
          <w:color w:val="000000"/>
        </w:rPr>
        <w:t xml:space="preserve"> и </w:t>
      </w:r>
      <w:proofErr w:type="spellStart"/>
      <w:r w:rsidRPr="00DE4F14">
        <w:rPr>
          <w:color w:val="000000"/>
        </w:rPr>
        <w:t>Maxell</w:t>
      </w:r>
      <w:proofErr w:type="spellEnd"/>
      <w:r w:rsidRPr="00DE4F14">
        <w:rPr>
          <w:color w:val="000000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DE4F14">
        <w:rPr>
          <w:color w:val="000000"/>
        </w:rPr>
        <w:t>Leniency</w:t>
      </w:r>
      <w:proofErr w:type="spellEnd"/>
      <w:r w:rsidRPr="00DE4F14">
        <w:rPr>
          <w:color w:val="000000"/>
        </w:rPr>
        <w:t xml:space="preserve"> </w:t>
      </w:r>
      <w:proofErr w:type="spellStart"/>
      <w:r w:rsidRPr="00DE4F14">
        <w:rPr>
          <w:color w:val="000000"/>
        </w:rPr>
        <w:t>Notice</w:t>
      </w:r>
      <w:proofErr w:type="spellEnd"/>
      <w:r w:rsidRPr="00DE4F14">
        <w:rPr>
          <w:color w:val="000000"/>
        </w:rPr>
        <w:t>). Однако в данном случае освобождения от ответственности не было. Для расчета штрафов в данном деле Комиссия впервые пр</w:t>
      </w:r>
      <w:r w:rsidR="00DE4F14">
        <w:rPr>
          <w:color w:val="000000"/>
        </w:rPr>
        <w:t>именила новое Руководство 2006</w:t>
      </w:r>
      <w:r w:rsidRPr="00DE4F14">
        <w:rPr>
          <w:color w:val="000000"/>
        </w:rPr>
        <w:t xml:space="preserve">. </w:t>
      </w:r>
      <w:r w:rsidRPr="00DE4F14">
        <w:rPr>
          <w:color w:val="000000"/>
          <w:shd w:val="clear" w:color="auto" w:fill="FDFDFD"/>
        </w:rPr>
        <w:t xml:space="preserve">(€) </w:t>
      </w:r>
      <w:proofErr w:type="spellStart"/>
      <w:r w:rsidRPr="00DE4F14">
        <w:rPr>
          <w:color w:val="000000"/>
          <w:shd w:val="clear" w:color="auto" w:fill="FDFDFD"/>
        </w:rPr>
        <w:t>Sony</w:t>
      </w:r>
      <w:proofErr w:type="spellEnd"/>
      <w:r w:rsidRPr="00DE4F14">
        <w:rPr>
          <w:color w:val="000000"/>
          <w:shd w:val="clear" w:color="auto" w:fill="FDFDFD"/>
        </w:rPr>
        <w:t xml:space="preserve"> (Япония) </w:t>
      </w:r>
      <w:proofErr w:type="spellStart"/>
      <w:r w:rsidRPr="00DE4F14">
        <w:rPr>
          <w:color w:val="000000"/>
          <w:shd w:val="clear" w:color="auto" w:fill="FDFDFD"/>
        </w:rPr>
        <w:t>None</w:t>
      </w:r>
      <w:proofErr w:type="spellEnd"/>
      <w:r w:rsidRPr="00DE4F14">
        <w:rPr>
          <w:color w:val="000000"/>
          <w:shd w:val="clear" w:color="auto" w:fill="FDFDFD"/>
        </w:rPr>
        <w:t xml:space="preserve"> </w:t>
      </w:r>
      <w:proofErr w:type="spellStart"/>
      <w:r w:rsidRPr="00DE4F14">
        <w:rPr>
          <w:color w:val="000000"/>
          <w:shd w:val="clear" w:color="auto" w:fill="FDFDFD"/>
        </w:rPr>
        <w:t>None</w:t>
      </w:r>
      <w:proofErr w:type="spellEnd"/>
      <w:r w:rsidRPr="00DE4F14">
        <w:rPr>
          <w:color w:val="000000"/>
          <w:shd w:val="clear" w:color="auto" w:fill="FDFDFD"/>
        </w:rPr>
        <w:t xml:space="preserve"> 47 190 000 </w:t>
      </w:r>
      <w:proofErr w:type="spellStart"/>
      <w:r w:rsidRPr="00DE4F14">
        <w:rPr>
          <w:color w:val="000000"/>
          <w:shd w:val="clear" w:color="auto" w:fill="FDFDFD"/>
        </w:rPr>
        <w:t>Fuji</w:t>
      </w:r>
      <w:proofErr w:type="spellEnd"/>
      <w:r w:rsidRPr="00DE4F14">
        <w:rPr>
          <w:color w:val="000000"/>
          <w:shd w:val="clear" w:color="auto" w:fill="FDFDFD"/>
        </w:rPr>
        <w:t xml:space="preserve"> (Япония) 40% 8 800 000 13 200 000 </w:t>
      </w:r>
      <w:proofErr w:type="spellStart"/>
      <w:r w:rsidRPr="00DE4F14">
        <w:rPr>
          <w:color w:val="000000"/>
          <w:shd w:val="clear" w:color="auto" w:fill="FDFDFD"/>
        </w:rPr>
        <w:t>Maxell</w:t>
      </w:r>
      <w:proofErr w:type="spellEnd"/>
      <w:r w:rsidRPr="00DE4F14">
        <w:rPr>
          <w:color w:val="000000"/>
          <w:shd w:val="clear" w:color="auto" w:fill="FDFDFD"/>
        </w:rPr>
        <w:t xml:space="preserve"> (Япония) 20% 3 600 000 14 400 000 Итого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C35523" w:rsidRPr="00DE4F14" w:rsidRDefault="00C35523" w:rsidP="00C3552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E4F14">
        <w:rPr>
          <w:rFonts w:ascii="Times New Roman" w:hAnsi="Times New Roman" w:cs="Times New Roman"/>
          <w:sz w:val="24"/>
          <w:szCs w:val="24"/>
        </w:rPr>
        <w:t>Тип нарушения – Разделение рынка</w:t>
      </w:r>
      <w:r w:rsidRPr="00DE4F1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35523" w:rsidRPr="00DE4F14" w:rsidRDefault="00C35523" w:rsidP="000054E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Heineken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Grolsch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 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Bavaria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на общую сумму € 273 783 000 за создание картеля на рынке пива в Нидерландах в нарушении Соглашения EC о запрете на картели и другие действия по ограничению рыночных отношений (Статья 81). Решение Комиссии включает группу компаний 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Heineken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Grolsch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 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Bavaria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вместе с 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InBev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группой, которая </w:t>
      </w:r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lastRenderedPageBreak/>
        <w:t xml:space="preserve">также участвовала в картеле. Потребление пива в Нидерландах приблизительно составляет </w:t>
      </w:r>
      <w:smartTag w:uri="urn:schemas-microsoft-com:office:smarttags" w:element="metricconverter">
        <w:smartTagPr>
          <w:attr w:name="ProductID" w:val="80 литров"/>
        </w:smartTagPr>
        <w:r w:rsidRPr="00DE4F1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DFDFD"/>
          </w:rPr>
          <w:t>80 литров</w:t>
        </w:r>
      </w:smartTag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InBev</w:t>
      </w:r>
      <w:proofErr w:type="spellEnd"/>
      <w:r w:rsidRPr="00DE4F1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C35523" w:rsidRPr="00DE4F14" w:rsidRDefault="00C35523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708"/>
        <w:rPr>
          <w:color w:val="000000"/>
        </w:rPr>
      </w:pPr>
      <w:r w:rsidRPr="00DE4F14">
        <w:rPr>
          <w:color w:val="000000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 w:rsidRPr="00DE4F14">
        <w:rPr>
          <w:color w:val="000000"/>
        </w:rPr>
        <w:t>InBev</w:t>
      </w:r>
      <w:proofErr w:type="spellEnd"/>
      <w:r w:rsidRPr="00DE4F14">
        <w:rPr>
          <w:color w:val="000000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C35523" w:rsidRPr="00DE4F14" w:rsidRDefault="00C35523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708"/>
        <w:rPr>
          <w:color w:val="000000"/>
        </w:rPr>
      </w:pPr>
      <w:r w:rsidRPr="00DE4F14">
        <w:rPr>
          <w:color w:val="000000"/>
        </w:rPr>
        <w:t>Доказательства</w:t>
      </w:r>
      <w:r w:rsidRPr="00DE4F14">
        <w:rPr>
          <w:color w:val="000000"/>
          <w:lang w:val="tt-RU"/>
        </w:rPr>
        <w:t>.</w:t>
      </w:r>
      <w:r w:rsidRPr="00DE4F14">
        <w:rPr>
          <w:color w:val="000000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 w:rsidRPr="00DE4F14">
        <w:rPr>
          <w:color w:val="000000"/>
        </w:rPr>
        <w:t>Heineken</w:t>
      </w:r>
      <w:proofErr w:type="spellEnd"/>
      <w:r w:rsidRPr="00DE4F14">
        <w:rPr>
          <w:color w:val="000000"/>
        </w:rPr>
        <w:t xml:space="preserve">, </w:t>
      </w:r>
      <w:proofErr w:type="spellStart"/>
      <w:r w:rsidRPr="00DE4F14">
        <w:rPr>
          <w:color w:val="000000"/>
        </w:rPr>
        <w:t>InBev</w:t>
      </w:r>
      <w:proofErr w:type="spellEnd"/>
      <w:r w:rsidRPr="00DE4F14">
        <w:rPr>
          <w:color w:val="000000"/>
        </w:rPr>
        <w:t xml:space="preserve">, </w:t>
      </w:r>
      <w:proofErr w:type="spellStart"/>
      <w:r w:rsidRPr="00DE4F14">
        <w:rPr>
          <w:color w:val="000000"/>
        </w:rPr>
        <w:t>Grolsch</w:t>
      </w:r>
      <w:proofErr w:type="spellEnd"/>
      <w:r w:rsidRPr="00DE4F14">
        <w:rPr>
          <w:color w:val="000000"/>
        </w:rPr>
        <w:t xml:space="preserve"> и </w:t>
      </w:r>
      <w:proofErr w:type="spellStart"/>
      <w:r w:rsidRPr="00DE4F14">
        <w:rPr>
          <w:color w:val="000000"/>
        </w:rPr>
        <w:t>Bavaria</w:t>
      </w:r>
      <w:proofErr w:type="spellEnd"/>
      <w:r w:rsidRPr="00DE4F14">
        <w:rPr>
          <w:color w:val="000000"/>
        </w:rPr>
        <w:t xml:space="preserve"> управляли незаконным картелем в Нидерландах. Это также полностью подтверждается корпоративными заявлениями, сделанными </w:t>
      </w:r>
      <w:proofErr w:type="spellStart"/>
      <w:r w:rsidRPr="00DE4F14">
        <w:rPr>
          <w:color w:val="000000"/>
        </w:rPr>
        <w:t>InBev</w:t>
      </w:r>
      <w:proofErr w:type="spellEnd"/>
      <w:r w:rsidRPr="00DE4F14">
        <w:rPr>
          <w:color w:val="000000"/>
        </w:rPr>
        <w:t>.</w:t>
      </w:r>
    </w:p>
    <w:p w:rsidR="000054EA" w:rsidRDefault="00C35523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708"/>
        <w:rPr>
          <w:color w:val="000000"/>
        </w:rPr>
      </w:pPr>
      <w:r w:rsidRPr="00DE4F14">
        <w:rPr>
          <w:color w:val="000000"/>
        </w:rPr>
        <w:t>Штрафы</w:t>
      </w:r>
      <w:r w:rsidRPr="00DE4F14">
        <w:rPr>
          <w:color w:val="000000"/>
          <w:lang w:val="tt-RU"/>
        </w:rPr>
        <w:t xml:space="preserve">. </w:t>
      </w:r>
      <w:r w:rsidRPr="00DE4F14">
        <w:rPr>
          <w:color w:val="000000"/>
        </w:rPr>
        <w:t xml:space="preserve">Рассмотренные случаи являются очень серьезным нарушением </w:t>
      </w:r>
      <w:proofErr w:type="spellStart"/>
      <w:r w:rsidRPr="00DE4F14">
        <w:rPr>
          <w:color w:val="000000"/>
        </w:rPr>
        <w:t>антитрастовых</w:t>
      </w:r>
      <w:proofErr w:type="spellEnd"/>
      <w:r w:rsidRPr="00DE4F14">
        <w:rPr>
          <w:color w:val="000000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0054EA" w:rsidRPr="000054EA" w:rsidRDefault="000054EA" w:rsidP="000054EA">
      <w:pPr>
        <w:pStyle w:val="a3"/>
        <w:numPr>
          <w:ilvl w:val="0"/>
          <w:numId w:val="5"/>
        </w:numPr>
        <w:shd w:val="clear" w:color="auto" w:fill="FDFDFD"/>
        <w:spacing w:before="240" w:beforeAutospacing="0" w:after="240" w:afterAutospacing="0" w:line="360" w:lineRule="atLeast"/>
        <w:rPr>
          <w:rFonts w:ascii="Helvetica" w:hAnsi="Helvetica"/>
          <w:b/>
          <w:i/>
          <w:color w:val="000000"/>
          <w:sz w:val="28"/>
          <w:szCs w:val="28"/>
          <w:lang w:val="tt-RU"/>
        </w:rPr>
      </w:pP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</w:rPr>
        <w:t>Использовалась ли в ходе дела программа освобождения от ответственности (</w:t>
      </w: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  <w:lang w:val="en-US"/>
        </w:rPr>
        <w:t>Leniency Program</w:t>
      </w: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</w:rPr>
        <w:t>)? Оцените последствия применения </w:t>
      </w: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  <w:lang w:val="en-US"/>
        </w:rPr>
        <w:t>Leniency Program</w:t>
      </w: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</w:rPr>
        <w:t> на картель.</w:t>
      </w:r>
    </w:p>
    <w:p w:rsidR="00C35523" w:rsidRPr="00DE4F14" w:rsidRDefault="00C35523" w:rsidP="00C35523">
      <w:pPr>
        <w:rPr>
          <w:rFonts w:ascii="Times New Roman" w:hAnsi="Times New Roman" w:cs="Times New Roman"/>
          <w:sz w:val="24"/>
          <w:szCs w:val="24"/>
        </w:rPr>
      </w:pPr>
      <w:r w:rsidRPr="00DE4F14">
        <w:rPr>
          <w:rFonts w:ascii="Times New Roman" w:hAnsi="Times New Roman" w:cs="Times New Roman"/>
          <w:sz w:val="24"/>
          <w:szCs w:val="24"/>
        </w:rPr>
        <w:t>1. В случае с видеокассетами программа не использовалась</w:t>
      </w:r>
    </w:p>
    <w:p w:rsidR="00C35523" w:rsidRPr="00DE4F14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 w:rsidRPr="00DE4F14">
        <w:t xml:space="preserve">2. Во втором случае в Нидерландах </w:t>
      </w:r>
      <w:r w:rsidRPr="00DE4F14">
        <w:rPr>
          <w:color w:val="000000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C35523" w:rsidRPr="00DE4F14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 w:rsidRPr="00DE4F14">
        <w:rPr>
          <w:color w:val="000000"/>
        </w:rPr>
        <w:t xml:space="preserve"> (%) Уменьшение штрафа в соответствии с Уведомлением о снисхождении</w:t>
      </w:r>
    </w:p>
    <w:p w:rsidR="00C35523" w:rsidRPr="00DE4F14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color w:val="000000"/>
          <w:lang w:val="tt-RU"/>
        </w:rPr>
      </w:pPr>
      <w:r w:rsidRPr="00DE4F14">
        <w:rPr>
          <w:color w:val="000000"/>
        </w:rPr>
        <w:t>(€) Особые вычеты (</w:t>
      </w:r>
      <w:proofErr w:type="spellStart"/>
      <w:r w:rsidRPr="00DE4F14">
        <w:rPr>
          <w:color w:val="000000"/>
        </w:rPr>
        <w:t>euros</w:t>
      </w:r>
      <w:proofErr w:type="spellEnd"/>
      <w:r w:rsidRPr="00DE4F14">
        <w:rPr>
          <w:color w:val="000000"/>
        </w:rPr>
        <w:t>) Штраф (</w:t>
      </w:r>
      <w:proofErr w:type="spellStart"/>
      <w:r w:rsidRPr="00DE4F14">
        <w:rPr>
          <w:color w:val="000000"/>
        </w:rPr>
        <w:t>euros</w:t>
      </w:r>
      <w:proofErr w:type="spellEnd"/>
      <w:r w:rsidRPr="00DE4F14">
        <w:rPr>
          <w:color w:val="000000"/>
        </w:rPr>
        <w:t xml:space="preserve">) </w:t>
      </w:r>
      <w:proofErr w:type="spellStart"/>
      <w:r w:rsidRPr="00DE4F14">
        <w:rPr>
          <w:color w:val="000000"/>
        </w:rPr>
        <w:t>Heineken</w:t>
      </w:r>
      <w:proofErr w:type="spellEnd"/>
      <w:r w:rsidRPr="00DE4F14">
        <w:rPr>
          <w:color w:val="000000"/>
        </w:rPr>
        <w:t xml:space="preserve"> NV (NL) &amp; </w:t>
      </w:r>
      <w:proofErr w:type="spellStart"/>
      <w:r w:rsidRPr="00DE4F14">
        <w:rPr>
          <w:color w:val="000000"/>
        </w:rPr>
        <w:t>Heineken</w:t>
      </w:r>
      <w:proofErr w:type="spellEnd"/>
      <w:r w:rsidRPr="00DE4F14">
        <w:rPr>
          <w:color w:val="000000"/>
        </w:rPr>
        <w:t xml:space="preserve"> </w:t>
      </w:r>
      <w:proofErr w:type="spellStart"/>
      <w:r w:rsidRPr="00DE4F14">
        <w:rPr>
          <w:color w:val="000000"/>
        </w:rPr>
        <w:t>Nederland</w:t>
      </w:r>
      <w:proofErr w:type="spellEnd"/>
      <w:r w:rsidRPr="00DE4F14">
        <w:rPr>
          <w:color w:val="000000"/>
        </w:rPr>
        <w:t xml:space="preserve"> BV (NL)(*) 0 0 100 000 219 275 000 </w:t>
      </w:r>
      <w:proofErr w:type="spellStart"/>
      <w:r w:rsidRPr="00DE4F14">
        <w:rPr>
          <w:color w:val="000000"/>
        </w:rPr>
        <w:t>InBev</w:t>
      </w:r>
      <w:proofErr w:type="spellEnd"/>
      <w:r w:rsidRPr="00DE4F14">
        <w:rPr>
          <w:color w:val="000000"/>
        </w:rPr>
        <w:t xml:space="preserve"> NV (B) &amp; </w:t>
      </w:r>
      <w:proofErr w:type="spellStart"/>
      <w:r w:rsidRPr="00DE4F14">
        <w:rPr>
          <w:color w:val="000000"/>
        </w:rPr>
        <w:t>InBev</w:t>
      </w:r>
      <w:proofErr w:type="spellEnd"/>
      <w:r w:rsidRPr="00DE4F14">
        <w:rPr>
          <w:color w:val="000000"/>
        </w:rPr>
        <w:t xml:space="preserve"> </w:t>
      </w:r>
      <w:proofErr w:type="spellStart"/>
      <w:r w:rsidRPr="00DE4F14">
        <w:rPr>
          <w:color w:val="000000"/>
        </w:rPr>
        <w:t>Nederland</w:t>
      </w:r>
      <w:proofErr w:type="spellEnd"/>
      <w:r w:rsidRPr="00DE4F14">
        <w:rPr>
          <w:color w:val="000000"/>
        </w:rPr>
        <w:t xml:space="preserve"> NV (NL)(*) 100 84 375 000 0 0 </w:t>
      </w:r>
      <w:proofErr w:type="spellStart"/>
      <w:r w:rsidRPr="00DE4F14">
        <w:rPr>
          <w:color w:val="000000"/>
        </w:rPr>
        <w:t>Grolsch</w:t>
      </w:r>
      <w:proofErr w:type="spellEnd"/>
      <w:r w:rsidRPr="00DE4F14">
        <w:rPr>
          <w:color w:val="000000"/>
        </w:rPr>
        <w:t xml:space="preserve"> NV (NL) 0 0 100 000 31 658 000 </w:t>
      </w:r>
      <w:proofErr w:type="spellStart"/>
      <w:r w:rsidRPr="00DE4F14">
        <w:rPr>
          <w:color w:val="000000"/>
        </w:rPr>
        <w:t>Bavaria</w:t>
      </w:r>
      <w:proofErr w:type="spellEnd"/>
      <w:r w:rsidRPr="00DE4F14">
        <w:rPr>
          <w:color w:val="000000"/>
        </w:rPr>
        <w:t> NV (NL) 0 0 100 000 22 850 000 Итого 273 783 000 (*) Совместная и индивидуальная ответственность Действия в случае убытков Любой человек или фирма, которых затронуло анти-конкурентное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Комиссия оштрафовала заинтересованные компании, убытки можно востребовать без уменьшения из-за штрафа Комиссии.</w:t>
      </w:r>
    </w:p>
    <w:p w:rsidR="000054EA" w:rsidRPr="000054EA" w:rsidRDefault="000054EA" w:rsidP="000054EA">
      <w:pPr>
        <w:pStyle w:val="a3"/>
        <w:numPr>
          <w:ilvl w:val="0"/>
          <w:numId w:val="5"/>
        </w:numPr>
        <w:shd w:val="clear" w:color="auto" w:fill="FDFDFD"/>
        <w:spacing w:before="240" w:beforeAutospacing="0" w:after="240" w:afterAutospacing="0" w:line="360" w:lineRule="atLeast"/>
        <w:rPr>
          <w:b/>
          <w:i/>
          <w:color w:val="000000"/>
          <w:sz w:val="28"/>
          <w:szCs w:val="28"/>
        </w:rPr>
      </w:pPr>
      <w:r w:rsidRPr="000054EA">
        <w:rPr>
          <w:rFonts w:ascii="Helvetica" w:hAnsi="Helvetica"/>
          <w:b/>
          <w:i/>
          <w:color w:val="333333"/>
          <w:sz w:val="28"/>
          <w:szCs w:val="28"/>
          <w:shd w:val="clear" w:color="auto" w:fill="FFFFFF"/>
        </w:rPr>
        <w:lastRenderedPageBreak/>
        <w:t>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C35523" w:rsidRPr="00DE4F14" w:rsidRDefault="000054EA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360"/>
        <w:rPr>
          <w:color w:val="000000"/>
          <w:lang w:val="tt-RU"/>
        </w:rPr>
      </w:pPr>
      <w:r>
        <w:rPr>
          <w:color w:val="000000"/>
        </w:rPr>
        <w:t>1)</w:t>
      </w:r>
      <w:r w:rsidR="00C35523" w:rsidRPr="00DE4F14">
        <w:rPr>
          <w:color w:val="000000"/>
        </w:rPr>
        <w:t xml:space="preserve"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</w:t>
      </w:r>
      <w:proofErr w:type="gramStart"/>
      <w:r w:rsidR="00C35523" w:rsidRPr="00DE4F14">
        <w:rPr>
          <w:color w:val="000000"/>
        </w:rPr>
        <w:t>прибыльности .</w:t>
      </w:r>
      <w:proofErr w:type="gramEnd"/>
      <w:r w:rsidR="00C35523" w:rsidRPr="00DE4F14">
        <w:rPr>
          <w:color w:val="000000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C35523" w:rsidRPr="00DE4F14" w:rsidRDefault="000054EA" w:rsidP="000054EA">
      <w:pPr>
        <w:pStyle w:val="a3"/>
        <w:shd w:val="clear" w:color="auto" w:fill="FDFDFD"/>
        <w:spacing w:before="240" w:beforeAutospacing="0" w:after="240" w:afterAutospacing="0" w:line="360" w:lineRule="atLeast"/>
        <w:ind w:firstLine="360"/>
        <w:rPr>
          <w:color w:val="000000"/>
          <w:lang w:val="tt-RU"/>
        </w:rPr>
      </w:pPr>
      <w:r>
        <w:rPr>
          <w:color w:val="000000"/>
        </w:rPr>
        <w:t>2)</w:t>
      </w:r>
      <w:r w:rsidR="00C35523" w:rsidRPr="00DE4F14">
        <w:rPr>
          <w:color w:val="000000"/>
        </w:rPr>
        <w:t>Закрепление некоторых сегментов рынка под монопольным контролем. Раздел рынка ведет к т</w:t>
      </w:r>
      <w:r>
        <w:rPr>
          <w:color w:val="000000"/>
        </w:rPr>
        <w:t xml:space="preserve">ому, что фирма становится чистым </w:t>
      </w:r>
      <w:r w:rsidR="00C35523" w:rsidRPr="00DE4F14">
        <w:rPr>
          <w:color w:val="000000"/>
        </w:rPr>
        <w:t>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="00C35523" w:rsidRPr="00DE4F14">
        <w:rPr>
          <w:color w:val="000000"/>
        </w:rPr>
        <w:t>Транснефти</w:t>
      </w:r>
      <w:proofErr w:type="spellEnd"/>
      <w:r w:rsidR="00C35523" w:rsidRPr="00DE4F14">
        <w:rPr>
          <w:color w:val="000000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C35523" w:rsidRPr="000054EA" w:rsidRDefault="000054EA" w:rsidP="000054EA">
      <w:pPr>
        <w:spacing w:before="100" w:beforeAutospacing="1" w:after="24" w:line="360" w:lineRule="atLeas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35523" w:rsidRPr="000054EA">
        <w:rPr>
          <w:rFonts w:ascii="Times New Roman" w:hAnsi="Times New Roman" w:cs="Times New Roman"/>
          <w:color w:val="000000"/>
          <w:sz w:val="24"/>
          <w:szCs w:val="24"/>
        </w:rPr>
        <w:t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C35523" w:rsidRPr="00DE4F14" w:rsidRDefault="000054EA" w:rsidP="000054EA">
      <w:pPr>
        <w:spacing w:before="100" w:beforeAutospacing="1" w:after="24" w:line="360" w:lineRule="atLeas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C35523" w:rsidRPr="00DE4F14">
        <w:rPr>
          <w:rFonts w:ascii="Times New Roman" w:hAnsi="Times New Roman" w:cs="Times New Roman"/>
          <w:color w:val="000000"/>
          <w:sz w:val="24"/>
          <w:szCs w:val="24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C35523" w:rsidRPr="00DE4F14" w:rsidRDefault="00C35523" w:rsidP="00C35523">
      <w:pPr>
        <w:pStyle w:val="a3"/>
        <w:shd w:val="clear" w:color="auto" w:fill="FDFDFD"/>
        <w:spacing w:before="240" w:beforeAutospacing="0" w:after="240" w:afterAutospacing="0" w:line="360" w:lineRule="atLeast"/>
        <w:rPr>
          <w:color w:val="000000"/>
          <w:lang w:val="tt-RU"/>
        </w:rPr>
      </w:pPr>
    </w:p>
    <w:p w:rsidR="007E3E98" w:rsidRPr="00DE4F14" w:rsidRDefault="007E3E98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7E3E98" w:rsidRPr="00DE4F14" w:rsidSect="00DE4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 w15:restartNumberingAfterBreak="0">
    <w:nsid w:val="38DC151A"/>
    <w:multiLevelType w:val="hybridMultilevel"/>
    <w:tmpl w:val="6E8C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31EE"/>
    <w:multiLevelType w:val="hybridMultilevel"/>
    <w:tmpl w:val="693E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A"/>
    <w:rsid w:val="000054EA"/>
    <w:rsid w:val="007E3E98"/>
    <w:rsid w:val="008306D4"/>
    <w:rsid w:val="009E6A50"/>
    <w:rsid w:val="00C35523"/>
    <w:rsid w:val="00DE4F14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351E6"/>
  <w15:chartTrackingRefBased/>
  <w15:docId w15:val="{9A78B596-6736-42C1-8692-AB81371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F067-2EC5-4F30-A37E-F6C7A94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Ris</cp:lastModifiedBy>
  <cp:revision>5</cp:revision>
  <dcterms:created xsi:type="dcterms:W3CDTF">2020-03-22T10:34:00Z</dcterms:created>
  <dcterms:modified xsi:type="dcterms:W3CDTF">2020-03-23T11:25:00Z</dcterms:modified>
</cp:coreProperties>
</file>