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D2275" w14:textId="7AA28FE9" w:rsidR="005404A4" w:rsidRPr="00A11D91" w:rsidRDefault="00A11D91">
      <w:pPr>
        <w:rPr>
          <w:rFonts w:ascii="Times New Roman" w:hAnsi="Times New Roman" w:cs="Times New Roman"/>
          <w:b/>
          <w:bCs/>
          <w:noProof/>
          <w:sz w:val="28"/>
          <w:szCs w:val="28"/>
        </w:rPr>
      </w:pPr>
      <w:r w:rsidRPr="00A11D91">
        <w:rPr>
          <w:rFonts w:ascii="Times New Roman" w:hAnsi="Times New Roman" w:cs="Times New Roman"/>
          <w:b/>
          <w:bCs/>
          <w:noProof/>
          <w:sz w:val="28"/>
          <w:szCs w:val="28"/>
        </w:rPr>
        <w:t xml:space="preserve">Задача №1 </w:t>
      </w:r>
    </w:p>
    <w:p w14:paraId="1D013EAD" w14:textId="77777777" w:rsidR="00A11D91" w:rsidRPr="00A11D91" w:rsidRDefault="00A11D91" w:rsidP="00A11D91">
      <w:pPr>
        <w:rPr>
          <w:rFonts w:ascii="Times New Roman" w:hAnsi="Times New Roman" w:cs="Times New Roman"/>
          <w:sz w:val="28"/>
          <w:szCs w:val="28"/>
          <w:lang w:val="en-US"/>
        </w:rPr>
      </w:pPr>
      <w:r w:rsidRPr="00A11D91">
        <w:rPr>
          <w:rFonts w:ascii="Times New Roman" w:hAnsi="Times New Roman" w:cs="Times New Roman"/>
          <w:noProof/>
          <w:sz w:val="28"/>
          <w:szCs w:val="28"/>
        </w:rPr>
        <w:drawing>
          <wp:inline distT="0" distB="0" distL="0" distR="0" wp14:anchorId="32131C32" wp14:editId="222D6D60">
            <wp:extent cx="5934075" cy="1038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038225"/>
                    </a:xfrm>
                    <a:prstGeom prst="rect">
                      <a:avLst/>
                    </a:prstGeom>
                    <a:noFill/>
                    <a:ln>
                      <a:noFill/>
                    </a:ln>
                  </pic:spPr>
                </pic:pic>
              </a:graphicData>
            </a:graphic>
          </wp:inline>
        </w:drawing>
      </w:r>
    </w:p>
    <w:p w14:paraId="53CE38AE" w14:textId="77777777" w:rsidR="00A11D91" w:rsidRPr="00A11D91" w:rsidRDefault="00A11D91" w:rsidP="00A11D91">
      <w:pPr>
        <w:rPr>
          <w:rFonts w:ascii="Times New Roman" w:hAnsi="Times New Roman" w:cs="Times New Roman"/>
          <w:sz w:val="28"/>
          <w:szCs w:val="28"/>
          <w:lang w:val="en-US"/>
        </w:rPr>
      </w:pPr>
      <w:proofErr w:type="spellStart"/>
      <w:r w:rsidRPr="00A11D91">
        <w:rPr>
          <w:rFonts w:ascii="Times New Roman" w:hAnsi="Times New Roman" w:cs="Times New Roman"/>
          <w:sz w:val="28"/>
          <w:szCs w:val="28"/>
          <w:lang w:val="en-US"/>
        </w:rPr>
        <w:t>E</w:t>
      </w:r>
      <w:r w:rsidRPr="00A11D91">
        <w:rPr>
          <w:rFonts w:ascii="Times New Roman" w:hAnsi="Times New Roman" w:cs="Times New Roman"/>
          <w:sz w:val="28"/>
          <w:szCs w:val="28"/>
          <w:vertAlign w:val="subscript"/>
          <w:lang w:val="en-US"/>
        </w:rPr>
        <w:t>pd</w:t>
      </w:r>
      <w:proofErr w:type="spellEnd"/>
      <w:proofErr w:type="gramStart"/>
      <w:r w:rsidRPr="00A11D91">
        <w:rPr>
          <w:rFonts w:ascii="Times New Roman" w:hAnsi="Times New Roman" w:cs="Times New Roman"/>
          <w:sz w:val="28"/>
          <w:szCs w:val="28"/>
          <w:lang w:val="en-US"/>
        </w:rPr>
        <w:t>=(</w:t>
      </w:r>
      <w:proofErr w:type="gramEnd"/>
      <w:r w:rsidRPr="00A11D91">
        <w:rPr>
          <w:rFonts w:ascii="Times New Roman" w:hAnsi="Times New Roman" w:cs="Times New Roman"/>
          <w:sz w:val="28"/>
          <w:szCs w:val="28"/>
          <w:lang w:val="en-US"/>
        </w:rPr>
        <w:t>10/15)/(35/22,5)=0,43</w:t>
      </w:r>
    </w:p>
    <w:p w14:paraId="29615024" w14:textId="77777777" w:rsidR="00A11D91" w:rsidRPr="00A11D91" w:rsidRDefault="00A11D91" w:rsidP="00A11D91">
      <w:pPr>
        <w:rPr>
          <w:rFonts w:ascii="Times New Roman" w:hAnsi="Times New Roman" w:cs="Times New Roman"/>
          <w:sz w:val="28"/>
          <w:szCs w:val="28"/>
          <w:lang w:val="en-US"/>
        </w:rPr>
      </w:pPr>
      <w:proofErr w:type="spellStart"/>
      <w:r w:rsidRPr="00A11D91">
        <w:rPr>
          <w:rFonts w:ascii="Times New Roman" w:hAnsi="Times New Roman" w:cs="Times New Roman"/>
          <w:sz w:val="28"/>
          <w:szCs w:val="28"/>
          <w:lang w:val="en-US"/>
        </w:rPr>
        <w:t>dP</w:t>
      </w:r>
      <w:proofErr w:type="spellEnd"/>
      <w:r w:rsidRPr="00A11D91">
        <w:rPr>
          <w:rFonts w:ascii="Times New Roman" w:hAnsi="Times New Roman" w:cs="Times New Roman"/>
          <w:sz w:val="28"/>
          <w:szCs w:val="28"/>
          <w:lang w:val="en-US"/>
        </w:rPr>
        <w:t>=40-5=35</w:t>
      </w:r>
    </w:p>
    <w:p w14:paraId="154C4242" w14:textId="77777777" w:rsidR="00A11D91" w:rsidRPr="00A11D91" w:rsidRDefault="00A11D91" w:rsidP="00A11D91">
      <w:pPr>
        <w:rPr>
          <w:rFonts w:ascii="Times New Roman" w:hAnsi="Times New Roman" w:cs="Times New Roman"/>
          <w:sz w:val="28"/>
          <w:szCs w:val="28"/>
          <w:lang w:val="en-US"/>
        </w:rPr>
      </w:pPr>
      <w:proofErr w:type="spellStart"/>
      <w:r w:rsidRPr="00A11D91">
        <w:rPr>
          <w:rFonts w:ascii="Times New Roman" w:hAnsi="Times New Roman" w:cs="Times New Roman"/>
          <w:sz w:val="28"/>
          <w:szCs w:val="28"/>
          <w:lang w:val="en-US"/>
        </w:rPr>
        <w:t>dQ</w:t>
      </w:r>
      <w:r w:rsidRPr="00A11D91">
        <w:rPr>
          <w:rFonts w:ascii="Times New Roman" w:hAnsi="Times New Roman" w:cs="Times New Roman"/>
          <w:sz w:val="28"/>
          <w:szCs w:val="28"/>
          <w:vertAlign w:val="subscript"/>
          <w:lang w:val="en-US"/>
        </w:rPr>
        <w:t>d</w:t>
      </w:r>
      <w:proofErr w:type="spellEnd"/>
      <w:r w:rsidRPr="00A11D91">
        <w:rPr>
          <w:rFonts w:ascii="Times New Roman" w:hAnsi="Times New Roman" w:cs="Times New Roman"/>
          <w:sz w:val="28"/>
          <w:szCs w:val="28"/>
          <w:lang w:val="en-US"/>
        </w:rPr>
        <w:t>=20-10=10</w:t>
      </w:r>
    </w:p>
    <w:p w14:paraId="299694E7" w14:textId="77777777" w:rsidR="00A11D91" w:rsidRPr="00A11D91" w:rsidRDefault="00A11D91" w:rsidP="00A11D91">
      <w:pPr>
        <w:rPr>
          <w:rFonts w:ascii="Times New Roman" w:hAnsi="Times New Roman" w:cs="Times New Roman"/>
          <w:sz w:val="28"/>
          <w:szCs w:val="28"/>
          <w:lang w:val="en-US"/>
        </w:rPr>
      </w:pPr>
      <w:r w:rsidRPr="00A11D91">
        <w:rPr>
          <w:rFonts w:ascii="Times New Roman" w:hAnsi="Times New Roman" w:cs="Times New Roman"/>
          <w:sz w:val="28"/>
          <w:szCs w:val="28"/>
          <w:lang w:val="en-US"/>
        </w:rPr>
        <w:t>P</w:t>
      </w:r>
      <w:proofErr w:type="gramStart"/>
      <w:r w:rsidRPr="00A11D91">
        <w:rPr>
          <w:rFonts w:ascii="Times New Roman" w:hAnsi="Times New Roman" w:cs="Times New Roman"/>
          <w:sz w:val="28"/>
          <w:szCs w:val="28"/>
          <w:lang w:val="en-US"/>
        </w:rPr>
        <w:t>=(</w:t>
      </w:r>
      <w:proofErr w:type="gramEnd"/>
      <w:r w:rsidRPr="00A11D91">
        <w:rPr>
          <w:rFonts w:ascii="Times New Roman" w:hAnsi="Times New Roman" w:cs="Times New Roman"/>
          <w:sz w:val="28"/>
          <w:szCs w:val="28"/>
          <w:lang w:val="en-US"/>
        </w:rPr>
        <w:t>40+5)/2=22,5</w:t>
      </w:r>
    </w:p>
    <w:p w14:paraId="10DB1ADE" w14:textId="77777777" w:rsidR="00A11D91" w:rsidRPr="00A11D91" w:rsidRDefault="00A11D91" w:rsidP="00A11D91">
      <w:pPr>
        <w:rPr>
          <w:rFonts w:ascii="Times New Roman" w:hAnsi="Times New Roman" w:cs="Times New Roman"/>
          <w:sz w:val="28"/>
          <w:szCs w:val="28"/>
          <w:lang w:val="en-US"/>
        </w:rPr>
      </w:pPr>
      <w:proofErr w:type="spellStart"/>
      <w:r w:rsidRPr="00A11D91">
        <w:rPr>
          <w:rFonts w:ascii="Times New Roman" w:hAnsi="Times New Roman" w:cs="Times New Roman"/>
          <w:sz w:val="28"/>
          <w:szCs w:val="28"/>
          <w:lang w:val="en-US"/>
        </w:rPr>
        <w:t>Q</w:t>
      </w:r>
      <w:r w:rsidRPr="00A11D91">
        <w:rPr>
          <w:rFonts w:ascii="Times New Roman" w:hAnsi="Times New Roman" w:cs="Times New Roman"/>
          <w:sz w:val="28"/>
          <w:szCs w:val="28"/>
          <w:vertAlign w:val="subscript"/>
          <w:lang w:val="en-US"/>
        </w:rPr>
        <w:t>d</w:t>
      </w:r>
      <w:proofErr w:type="spellEnd"/>
      <w:proofErr w:type="gramStart"/>
      <w:r w:rsidRPr="00A11D91">
        <w:rPr>
          <w:rFonts w:ascii="Times New Roman" w:hAnsi="Times New Roman" w:cs="Times New Roman"/>
          <w:sz w:val="28"/>
          <w:szCs w:val="28"/>
          <w:lang w:val="en-US"/>
        </w:rPr>
        <w:t>=(</w:t>
      </w:r>
      <w:proofErr w:type="gramEnd"/>
      <w:r w:rsidRPr="00A11D91">
        <w:rPr>
          <w:rFonts w:ascii="Times New Roman" w:hAnsi="Times New Roman" w:cs="Times New Roman"/>
          <w:sz w:val="28"/>
          <w:szCs w:val="28"/>
          <w:lang w:val="en-US"/>
        </w:rPr>
        <w:t>20+10)/2=15</w:t>
      </w:r>
    </w:p>
    <w:p w14:paraId="40A26BEC" w14:textId="77777777" w:rsidR="00A11D91" w:rsidRPr="00A11D91" w:rsidRDefault="00A11D91" w:rsidP="00A11D91">
      <w:pPr>
        <w:rPr>
          <w:rFonts w:ascii="Times New Roman" w:hAnsi="Times New Roman" w:cs="Times New Roman"/>
          <w:sz w:val="28"/>
          <w:szCs w:val="28"/>
        </w:rPr>
      </w:pPr>
      <w:r w:rsidRPr="00A11D91">
        <w:rPr>
          <w:rFonts w:ascii="Times New Roman" w:hAnsi="Times New Roman" w:cs="Times New Roman"/>
          <w:sz w:val="28"/>
          <w:szCs w:val="28"/>
        </w:rPr>
        <w:t>0</w:t>
      </w:r>
      <w:r w:rsidRPr="00A11D91">
        <w:rPr>
          <w:rFonts w:ascii="Times New Roman" w:hAnsi="Times New Roman" w:cs="Times New Roman"/>
          <w:sz w:val="28"/>
          <w:szCs w:val="28"/>
          <w:lang w:val="en-US"/>
        </w:rPr>
        <w:t xml:space="preserve">&lt;0,43&lt;1 </w:t>
      </w:r>
      <w:r w:rsidRPr="00A11D91">
        <w:rPr>
          <w:rFonts w:ascii="Times New Roman" w:hAnsi="Times New Roman" w:cs="Times New Roman"/>
          <w:sz w:val="28"/>
          <w:szCs w:val="28"/>
        </w:rPr>
        <w:t xml:space="preserve">Спрос неэластичен </w:t>
      </w:r>
    </w:p>
    <w:p w14:paraId="4977DC59" w14:textId="506A51C9" w:rsidR="00A11D91" w:rsidRPr="00A11D91" w:rsidRDefault="00A11D91">
      <w:pPr>
        <w:rPr>
          <w:rFonts w:ascii="Times New Roman" w:hAnsi="Times New Roman" w:cs="Times New Roman"/>
          <w:sz w:val="28"/>
          <w:szCs w:val="28"/>
        </w:rPr>
      </w:pPr>
    </w:p>
    <w:p w14:paraId="19D069FB" w14:textId="395525E4" w:rsidR="00A11D91" w:rsidRPr="00A11D91" w:rsidRDefault="00A11D91">
      <w:pPr>
        <w:rPr>
          <w:rFonts w:ascii="Times New Roman" w:hAnsi="Times New Roman" w:cs="Times New Roman"/>
          <w:b/>
          <w:bCs/>
          <w:sz w:val="28"/>
          <w:szCs w:val="28"/>
        </w:rPr>
      </w:pPr>
      <w:r w:rsidRPr="00A11D91">
        <w:rPr>
          <w:rFonts w:ascii="Times New Roman" w:hAnsi="Times New Roman" w:cs="Times New Roman"/>
          <w:b/>
          <w:bCs/>
          <w:sz w:val="28"/>
          <w:szCs w:val="28"/>
        </w:rPr>
        <w:t>Кейс 3</w:t>
      </w:r>
    </w:p>
    <w:p w14:paraId="6D6BDBEB" w14:textId="77777777" w:rsidR="00A11D91" w:rsidRPr="00A11D91" w:rsidRDefault="00A11D91" w:rsidP="00A11D91">
      <w:pPr>
        <w:pStyle w:val="a3"/>
        <w:numPr>
          <w:ilvl w:val="0"/>
          <w:numId w:val="1"/>
        </w:numPr>
        <w:rPr>
          <w:rFonts w:ascii="Times New Roman" w:hAnsi="Times New Roman" w:cs="Times New Roman"/>
          <w:sz w:val="28"/>
          <w:szCs w:val="28"/>
        </w:rPr>
      </w:pPr>
      <w:r w:rsidRPr="00A11D91">
        <w:rPr>
          <w:rFonts w:ascii="Times New Roman" w:hAnsi="Times New Roman" w:cs="Times New Roman"/>
          <w:sz w:val="28"/>
          <w:szCs w:val="28"/>
        </w:rPr>
        <w:t>1) Одним из крупнейших картельных сговоров является сговор крупнейших производителей грузовых автотранспортных средств: «</w:t>
      </w:r>
      <w:r w:rsidRPr="00A11D91">
        <w:rPr>
          <w:rFonts w:ascii="Times New Roman" w:hAnsi="Times New Roman" w:cs="Times New Roman"/>
          <w:sz w:val="28"/>
          <w:szCs w:val="28"/>
          <w:lang w:val="en-US"/>
        </w:rPr>
        <w:t>MAN</w:t>
      </w:r>
      <w:r w:rsidRPr="00A11D91">
        <w:rPr>
          <w:rFonts w:ascii="Times New Roman" w:hAnsi="Times New Roman" w:cs="Times New Roman"/>
          <w:sz w:val="28"/>
          <w:szCs w:val="28"/>
        </w:rPr>
        <w:t>,</w:t>
      </w:r>
      <w:r w:rsidRPr="00A11D91">
        <w:rPr>
          <w:rFonts w:ascii="Times New Roman" w:hAnsi="Times New Roman" w:cs="Times New Roman"/>
          <w:color w:val="000000"/>
          <w:sz w:val="28"/>
          <w:szCs w:val="28"/>
          <w:shd w:val="clear" w:color="auto" w:fill="FFFFFF"/>
        </w:rPr>
        <w:t xml:space="preserve"> </w:t>
      </w:r>
      <w:proofErr w:type="spellStart"/>
      <w:r w:rsidRPr="00A11D91">
        <w:rPr>
          <w:rFonts w:ascii="Times New Roman" w:hAnsi="Times New Roman" w:cs="Times New Roman"/>
          <w:color w:val="000000"/>
          <w:sz w:val="28"/>
          <w:szCs w:val="28"/>
          <w:shd w:val="clear" w:color="auto" w:fill="FFFFFF"/>
        </w:rPr>
        <w:t>Iveco</w:t>
      </w:r>
      <w:proofErr w:type="spellEnd"/>
      <w:r w:rsidRPr="00A11D91">
        <w:rPr>
          <w:rFonts w:ascii="Times New Roman" w:hAnsi="Times New Roman" w:cs="Times New Roman"/>
          <w:color w:val="000000"/>
          <w:sz w:val="28"/>
          <w:szCs w:val="28"/>
          <w:shd w:val="clear" w:color="auto" w:fill="FFFFFF"/>
        </w:rPr>
        <w:t xml:space="preserve">, DAF, </w:t>
      </w:r>
      <w:proofErr w:type="spellStart"/>
      <w:r w:rsidRPr="00A11D91">
        <w:rPr>
          <w:rFonts w:ascii="Times New Roman" w:hAnsi="Times New Roman" w:cs="Times New Roman"/>
          <w:color w:val="000000"/>
          <w:sz w:val="28"/>
          <w:szCs w:val="28"/>
          <w:shd w:val="clear" w:color="auto" w:fill="FFFFFF"/>
        </w:rPr>
        <w:t>Volvo</w:t>
      </w:r>
      <w:proofErr w:type="spellEnd"/>
      <w:r w:rsidRPr="00A11D91">
        <w:rPr>
          <w:rFonts w:ascii="Times New Roman" w:hAnsi="Times New Roman" w:cs="Times New Roman"/>
          <w:color w:val="000000"/>
          <w:sz w:val="28"/>
          <w:szCs w:val="28"/>
          <w:shd w:val="clear" w:color="auto" w:fill="FFFFFF"/>
        </w:rPr>
        <w:t>/</w:t>
      </w:r>
      <w:proofErr w:type="spellStart"/>
      <w:r w:rsidRPr="00A11D91">
        <w:rPr>
          <w:rFonts w:ascii="Times New Roman" w:hAnsi="Times New Roman" w:cs="Times New Roman"/>
          <w:color w:val="000000"/>
          <w:sz w:val="28"/>
          <w:szCs w:val="28"/>
          <w:shd w:val="clear" w:color="auto" w:fill="FFFFFF"/>
        </w:rPr>
        <w:t>Renault</w:t>
      </w:r>
      <w:proofErr w:type="spellEnd"/>
      <w:r w:rsidRPr="00A11D91">
        <w:rPr>
          <w:rFonts w:ascii="Times New Roman" w:hAnsi="Times New Roman" w:cs="Times New Roman"/>
          <w:color w:val="000000"/>
          <w:sz w:val="28"/>
          <w:szCs w:val="28"/>
          <w:shd w:val="clear" w:color="auto" w:fill="FFFFFF"/>
        </w:rPr>
        <w:t xml:space="preserve">, </w:t>
      </w:r>
      <w:proofErr w:type="spellStart"/>
      <w:r w:rsidRPr="00A11D91">
        <w:rPr>
          <w:rFonts w:ascii="Times New Roman" w:hAnsi="Times New Roman" w:cs="Times New Roman"/>
          <w:color w:val="000000"/>
          <w:sz w:val="28"/>
          <w:szCs w:val="28"/>
          <w:shd w:val="clear" w:color="auto" w:fill="FFFFFF"/>
        </w:rPr>
        <w:t>Daimler</w:t>
      </w:r>
      <w:proofErr w:type="spellEnd"/>
      <w:r w:rsidRPr="00A11D91">
        <w:rPr>
          <w:rFonts w:ascii="Times New Roman" w:hAnsi="Times New Roman" w:cs="Times New Roman"/>
          <w:sz w:val="28"/>
          <w:szCs w:val="28"/>
        </w:rPr>
        <w:t>» продолжавшийся 14 лет (1997-2011). Также предположительно в сговоре задействована компания «</w:t>
      </w:r>
      <w:r w:rsidRPr="00A11D91">
        <w:rPr>
          <w:rFonts w:ascii="Times New Roman" w:hAnsi="Times New Roman" w:cs="Times New Roman"/>
          <w:sz w:val="28"/>
          <w:szCs w:val="28"/>
          <w:lang w:val="en-US"/>
        </w:rPr>
        <w:t>Scania</w:t>
      </w:r>
      <w:r w:rsidRPr="00A11D91">
        <w:rPr>
          <w:rFonts w:ascii="Times New Roman" w:hAnsi="Times New Roman" w:cs="Times New Roman"/>
          <w:sz w:val="28"/>
          <w:szCs w:val="28"/>
        </w:rPr>
        <w:t xml:space="preserve">», но она отказалась признавать свою причастность (расследование ведется). 2) </w:t>
      </w:r>
      <w:r w:rsidRPr="00A11D91">
        <w:rPr>
          <w:rFonts w:ascii="Times New Roman" w:hAnsi="Times New Roman" w:cs="Times New Roman"/>
          <w:color w:val="000000"/>
          <w:sz w:val="28"/>
          <w:szCs w:val="28"/>
          <w:shd w:val="clear" w:color="auto" w:fill="FFFFFF"/>
        </w:rPr>
        <w:t>семь международных производителей электронно-лучевых трубок (ЭЛТ) для телевизоров и мониторов, продолжавшийся 10 лет (</w:t>
      </w:r>
      <w:r w:rsidRPr="00A11D91">
        <w:rPr>
          <w:rFonts w:ascii="Times New Roman" w:hAnsi="Times New Roman" w:cs="Times New Roman"/>
          <w:color w:val="333333"/>
          <w:sz w:val="28"/>
          <w:szCs w:val="28"/>
          <w:shd w:val="clear" w:color="auto" w:fill="FFFFFF"/>
        </w:rPr>
        <w:t>с 1996 по 2006</w:t>
      </w:r>
      <w:r w:rsidRPr="00A11D91">
        <w:rPr>
          <w:rFonts w:ascii="Times New Roman" w:hAnsi="Times New Roman" w:cs="Times New Roman"/>
          <w:color w:val="000000"/>
          <w:sz w:val="28"/>
          <w:szCs w:val="28"/>
          <w:shd w:val="clear" w:color="auto" w:fill="FFFFFF"/>
        </w:rPr>
        <w:t xml:space="preserve">). Участниками обоих картелей были </w:t>
      </w:r>
      <w:proofErr w:type="spellStart"/>
      <w:r w:rsidRPr="00A11D91">
        <w:rPr>
          <w:rFonts w:ascii="Times New Roman" w:hAnsi="Times New Roman" w:cs="Times New Roman"/>
          <w:color w:val="000000"/>
          <w:sz w:val="28"/>
          <w:szCs w:val="28"/>
          <w:shd w:val="clear" w:color="auto" w:fill="FFFFFF"/>
        </w:rPr>
        <w:t>Chunghwa</w:t>
      </w:r>
      <w:proofErr w:type="spellEnd"/>
      <w:r w:rsidRPr="00A11D91">
        <w:rPr>
          <w:rFonts w:ascii="Times New Roman" w:hAnsi="Times New Roman" w:cs="Times New Roman"/>
          <w:color w:val="000000"/>
          <w:sz w:val="28"/>
          <w:szCs w:val="28"/>
          <w:shd w:val="clear" w:color="auto" w:fill="FFFFFF"/>
        </w:rPr>
        <w:t xml:space="preserve">, LG </w:t>
      </w:r>
      <w:proofErr w:type="spellStart"/>
      <w:r w:rsidRPr="00A11D91">
        <w:rPr>
          <w:rFonts w:ascii="Times New Roman" w:hAnsi="Times New Roman" w:cs="Times New Roman"/>
          <w:color w:val="000000"/>
          <w:sz w:val="28"/>
          <w:szCs w:val="28"/>
          <w:shd w:val="clear" w:color="auto" w:fill="FFFFFF"/>
        </w:rPr>
        <w:t>Electronics</w:t>
      </w:r>
      <w:proofErr w:type="spellEnd"/>
      <w:r w:rsidRPr="00A11D91">
        <w:rPr>
          <w:rFonts w:ascii="Times New Roman" w:hAnsi="Times New Roman" w:cs="Times New Roman"/>
          <w:color w:val="000000"/>
          <w:sz w:val="28"/>
          <w:szCs w:val="28"/>
          <w:shd w:val="clear" w:color="auto" w:fill="FFFFFF"/>
        </w:rPr>
        <w:t xml:space="preserve">, </w:t>
      </w:r>
      <w:proofErr w:type="spellStart"/>
      <w:r w:rsidRPr="00A11D91">
        <w:rPr>
          <w:rFonts w:ascii="Times New Roman" w:hAnsi="Times New Roman" w:cs="Times New Roman"/>
          <w:color w:val="000000"/>
          <w:sz w:val="28"/>
          <w:szCs w:val="28"/>
          <w:shd w:val="clear" w:color="auto" w:fill="FFFFFF"/>
        </w:rPr>
        <w:t>Philips</w:t>
      </w:r>
      <w:proofErr w:type="spellEnd"/>
      <w:r w:rsidRPr="00A11D91">
        <w:rPr>
          <w:rFonts w:ascii="Times New Roman" w:hAnsi="Times New Roman" w:cs="Times New Roman"/>
          <w:color w:val="000000"/>
          <w:sz w:val="28"/>
          <w:szCs w:val="28"/>
          <w:shd w:val="clear" w:color="auto" w:fill="FFFFFF"/>
        </w:rPr>
        <w:t xml:space="preserve"> и </w:t>
      </w:r>
      <w:proofErr w:type="spellStart"/>
      <w:r w:rsidRPr="00A11D91">
        <w:rPr>
          <w:rFonts w:ascii="Times New Roman" w:hAnsi="Times New Roman" w:cs="Times New Roman"/>
          <w:color w:val="000000"/>
          <w:sz w:val="28"/>
          <w:szCs w:val="28"/>
          <w:shd w:val="clear" w:color="auto" w:fill="FFFFFF"/>
        </w:rPr>
        <w:t>Samsung</w:t>
      </w:r>
      <w:proofErr w:type="spellEnd"/>
      <w:r w:rsidRPr="00A11D91">
        <w:rPr>
          <w:rFonts w:ascii="Times New Roman" w:hAnsi="Times New Roman" w:cs="Times New Roman"/>
          <w:color w:val="000000"/>
          <w:sz w:val="28"/>
          <w:szCs w:val="28"/>
          <w:shd w:val="clear" w:color="auto" w:fill="FFFFFF"/>
        </w:rPr>
        <w:t xml:space="preserve"> SDI, а </w:t>
      </w:r>
      <w:proofErr w:type="spellStart"/>
      <w:r w:rsidRPr="00A11D91">
        <w:rPr>
          <w:rFonts w:ascii="Times New Roman" w:hAnsi="Times New Roman" w:cs="Times New Roman"/>
          <w:color w:val="000000"/>
          <w:sz w:val="28"/>
          <w:szCs w:val="28"/>
          <w:shd w:val="clear" w:color="auto" w:fill="FFFFFF"/>
        </w:rPr>
        <w:t>Panasonic</w:t>
      </w:r>
      <w:proofErr w:type="spellEnd"/>
      <w:r w:rsidRPr="00A11D91">
        <w:rPr>
          <w:rFonts w:ascii="Times New Roman" w:hAnsi="Times New Roman" w:cs="Times New Roman"/>
          <w:color w:val="000000"/>
          <w:sz w:val="28"/>
          <w:szCs w:val="28"/>
          <w:shd w:val="clear" w:color="auto" w:fill="FFFFFF"/>
        </w:rPr>
        <w:t xml:space="preserve">, </w:t>
      </w:r>
      <w:proofErr w:type="spellStart"/>
      <w:r w:rsidRPr="00A11D91">
        <w:rPr>
          <w:rFonts w:ascii="Times New Roman" w:hAnsi="Times New Roman" w:cs="Times New Roman"/>
          <w:color w:val="000000"/>
          <w:sz w:val="28"/>
          <w:szCs w:val="28"/>
          <w:shd w:val="clear" w:color="auto" w:fill="FFFFFF"/>
        </w:rPr>
        <w:t>Toshiba</w:t>
      </w:r>
      <w:proofErr w:type="spellEnd"/>
      <w:r w:rsidRPr="00A11D91">
        <w:rPr>
          <w:rFonts w:ascii="Times New Roman" w:hAnsi="Times New Roman" w:cs="Times New Roman"/>
          <w:color w:val="000000"/>
          <w:sz w:val="28"/>
          <w:szCs w:val="28"/>
          <w:shd w:val="clear" w:color="auto" w:fill="FFFFFF"/>
        </w:rPr>
        <w:t xml:space="preserve">, MTPD (сейчас подразделение </w:t>
      </w:r>
      <w:proofErr w:type="spellStart"/>
      <w:r w:rsidRPr="00A11D91">
        <w:rPr>
          <w:rFonts w:ascii="Times New Roman" w:hAnsi="Times New Roman" w:cs="Times New Roman"/>
          <w:color w:val="000000"/>
          <w:sz w:val="28"/>
          <w:szCs w:val="28"/>
          <w:shd w:val="clear" w:color="auto" w:fill="FFFFFF"/>
        </w:rPr>
        <w:t>Panasonic</w:t>
      </w:r>
      <w:proofErr w:type="spellEnd"/>
      <w:r w:rsidRPr="00A11D91">
        <w:rPr>
          <w:rFonts w:ascii="Times New Roman" w:hAnsi="Times New Roman" w:cs="Times New Roman"/>
          <w:color w:val="000000"/>
          <w:sz w:val="28"/>
          <w:szCs w:val="28"/>
          <w:shd w:val="clear" w:color="auto" w:fill="FFFFFF"/>
        </w:rPr>
        <w:t>) и </w:t>
      </w:r>
      <w:proofErr w:type="spellStart"/>
      <w:r w:rsidRPr="00A11D91">
        <w:rPr>
          <w:rFonts w:ascii="Times New Roman" w:hAnsi="Times New Roman" w:cs="Times New Roman"/>
          <w:color w:val="000000"/>
          <w:sz w:val="28"/>
          <w:szCs w:val="28"/>
          <w:shd w:val="clear" w:color="auto" w:fill="FFFFFF"/>
        </w:rPr>
        <w:t>Technicolor</w:t>
      </w:r>
      <w:proofErr w:type="spellEnd"/>
      <w:r w:rsidRPr="00A11D91">
        <w:rPr>
          <w:rFonts w:ascii="Times New Roman" w:hAnsi="Times New Roman" w:cs="Times New Roman"/>
          <w:color w:val="000000"/>
          <w:sz w:val="28"/>
          <w:szCs w:val="28"/>
          <w:shd w:val="clear" w:color="auto" w:fill="FFFFFF"/>
        </w:rPr>
        <w:t xml:space="preserve"> (ранее </w:t>
      </w:r>
      <w:proofErr w:type="spellStart"/>
      <w:r w:rsidRPr="00A11D91">
        <w:rPr>
          <w:rFonts w:ascii="Times New Roman" w:hAnsi="Times New Roman" w:cs="Times New Roman"/>
          <w:color w:val="000000"/>
          <w:sz w:val="28"/>
          <w:szCs w:val="28"/>
          <w:shd w:val="clear" w:color="auto" w:fill="FFFFFF"/>
        </w:rPr>
        <w:t>Thomson</w:t>
      </w:r>
      <w:proofErr w:type="spellEnd"/>
      <w:r w:rsidRPr="00A11D91">
        <w:rPr>
          <w:rFonts w:ascii="Times New Roman" w:hAnsi="Times New Roman" w:cs="Times New Roman"/>
          <w:color w:val="000000"/>
          <w:sz w:val="28"/>
          <w:szCs w:val="28"/>
          <w:shd w:val="clear" w:color="auto" w:fill="FFFFFF"/>
        </w:rPr>
        <w:t>) — лишь "телевизионного" картеля.</w:t>
      </w:r>
    </w:p>
    <w:p w14:paraId="5DE0A5E7" w14:textId="77777777" w:rsidR="00A11D91" w:rsidRPr="00A11D91" w:rsidRDefault="00A11D91" w:rsidP="00A11D91">
      <w:pPr>
        <w:pStyle w:val="a3"/>
        <w:ind w:left="1440"/>
        <w:rPr>
          <w:rFonts w:ascii="Times New Roman" w:hAnsi="Times New Roman" w:cs="Times New Roman"/>
          <w:color w:val="000000"/>
          <w:sz w:val="28"/>
          <w:szCs w:val="28"/>
          <w:shd w:val="clear" w:color="auto" w:fill="FFFFFF"/>
        </w:rPr>
      </w:pPr>
      <w:r w:rsidRPr="00A11D91">
        <w:rPr>
          <w:rFonts w:ascii="Times New Roman" w:hAnsi="Times New Roman" w:cs="Times New Roman"/>
          <w:sz w:val="28"/>
          <w:szCs w:val="28"/>
        </w:rPr>
        <w:t xml:space="preserve"> Общая сумма штрафов 2,93 млрд евро для сговора производителей грузовых автотранспортных средств и 1,47 млрд евро для</w:t>
      </w:r>
      <w:r w:rsidRPr="00A11D91">
        <w:rPr>
          <w:rFonts w:ascii="Times New Roman" w:hAnsi="Times New Roman" w:cs="Times New Roman"/>
          <w:color w:val="000000"/>
          <w:sz w:val="28"/>
          <w:szCs w:val="28"/>
          <w:shd w:val="clear" w:color="auto" w:fill="FFFFFF"/>
        </w:rPr>
        <w:t xml:space="preserve"> международных производителей электронно-лучевых трубок (ЭЛТ)</w:t>
      </w:r>
    </w:p>
    <w:p w14:paraId="0E497F8A" w14:textId="77777777" w:rsidR="00A11D91" w:rsidRPr="00A11D91" w:rsidRDefault="00A11D91" w:rsidP="00A11D91">
      <w:pPr>
        <w:pStyle w:val="a3"/>
        <w:ind w:left="1440"/>
        <w:rPr>
          <w:rFonts w:ascii="Times New Roman" w:hAnsi="Times New Roman" w:cs="Times New Roman"/>
          <w:sz w:val="28"/>
          <w:szCs w:val="28"/>
        </w:rPr>
      </w:pPr>
      <w:r w:rsidRPr="00A11D91">
        <w:rPr>
          <w:rFonts w:ascii="Times New Roman" w:hAnsi="Times New Roman" w:cs="Times New Roman"/>
          <w:sz w:val="28"/>
          <w:szCs w:val="28"/>
        </w:rPr>
        <w:t>Компании обвиняются в фиксации цен (препятствие производителей грузовых автомобилей введению новых стандартов производства и технологий</w:t>
      </w:r>
      <w:proofErr w:type="gramStart"/>
      <w:r w:rsidRPr="00A11D91">
        <w:rPr>
          <w:rFonts w:ascii="Times New Roman" w:hAnsi="Times New Roman" w:cs="Times New Roman"/>
          <w:sz w:val="28"/>
          <w:szCs w:val="28"/>
        </w:rPr>
        <w:t>) ,</w:t>
      </w:r>
      <w:proofErr w:type="gramEnd"/>
      <w:r w:rsidRPr="00A11D91">
        <w:rPr>
          <w:rFonts w:ascii="Times New Roman" w:hAnsi="Times New Roman" w:cs="Times New Roman"/>
          <w:sz w:val="28"/>
          <w:szCs w:val="28"/>
        </w:rPr>
        <w:t xml:space="preserve"> что нарушает антимонопольное законодательство</w:t>
      </w:r>
    </w:p>
    <w:p w14:paraId="34AE84D6" w14:textId="77777777" w:rsidR="00A11D91" w:rsidRPr="00A11D91" w:rsidRDefault="00A11D91" w:rsidP="00A11D91">
      <w:pPr>
        <w:pStyle w:val="a3"/>
        <w:numPr>
          <w:ilvl w:val="0"/>
          <w:numId w:val="1"/>
        </w:numPr>
        <w:rPr>
          <w:rFonts w:ascii="Times New Roman" w:hAnsi="Times New Roman" w:cs="Times New Roman"/>
          <w:sz w:val="28"/>
          <w:szCs w:val="28"/>
        </w:rPr>
      </w:pPr>
      <w:r w:rsidRPr="00A11D91">
        <w:rPr>
          <w:rFonts w:ascii="Times New Roman" w:hAnsi="Times New Roman" w:cs="Times New Roman"/>
          <w:sz w:val="28"/>
          <w:szCs w:val="28"/>
        </w:rPr>
        <w:t xml:space="preserve">1) С помощью программы освобождения от ответственности было выявлено картельное соглашение. Компания </w:t>
      </w:r>
      <w:r w:rsidRPr="00A11D91">
        <w:rPr>
          <w:rFonts w:ascii="Times New Roman" w:hAnsi="Times New Roman" w:cs="Times New Roman"/>
          <w:sz w:val="28"/>
          <w:szCs w:val="28"/>
          <w:lang w:val="en-US"/>
        </w:rPr>
        <w:t>MAN</w:t>
      </w:r>
      <w:r w:rsidRPr="00A11D91">
        <w:rPr>
          <w:rFonts w:ascii="Times New Roman" w:hAnsi="Times New Roman" w:cs="Times New Roman"/>
          <w:sz w:val="28"/>
          <w:szCs w:val="28"/>
        </w:rPr>
        <w:t xml:space="preserve"> заявило о существовании соглашения и предприняла содействие </w:t>
      </w:r>
      <w:r w:rsidRPr="00A11D91">
        <w:rPr>
          <w:rFonts w:ascii="Times New Roman" w:hAnsi="Times New Roman" w:cs="Times New Roman"/>
          <w:sz w:val="28"/>
          <w:szCs w:val="28"/>
        </w:rPr>
        <w:lastRenderedPageBreak/>
        <w:t xml:space="preserve">уполномоченным органам, за что была освобождена от суммы штрафа в 1,2 млрд евро. Остальные компании выплатили штраф в следующих размерах: </w:t>
      </w:r>
      <w:proofErr w:type="spellStart"/>
      <w:r w:rsidRPr="00A11D91">
        <w:rPr>
          <w:rFonts w:ascii="Times New Roman" w:hAnsi="Times New Roman" w:cs="Times New Roman"/>
          <w:color w:val="000000"/>
          <w:sz w:val="28"/>
          <w:szCs w:val="28"/>
          <w:shd w:val="clear" w:color="auto" w:fill="FFFFFF"/>
        </w:rPr>
        <w:t>Daimler</w:t>
      </w:r>
      <w:proofErr w:type="spellEnd"/>
      <w:r w:rsidRPr="00A11D91">
        <w:rPr>
          <w:rFonts w:ascii="Times New Roman" w:hAnsi="Times New Roman" w:cs="Times New Roman"/>
          <w:color w:val="000000"/>
          <w:sz w:val="28"/>
          <w:szCs w:val="28"/>
          <w:shd w:val="clear" w:color="auto" w:fill="FFFFFF"/>
        </w:rPr>
        <w:t xml:space="preserve"> – 1 млрд евро (получил 30 процентов скидки за сотрудничество + 10 за внесудебное урегулирование); DAF – 752,7 млн евро (10 процентов за соглашение); </w:t>
      </w:r>
      <w:proofErr w:type="spellStart"/>
      <w:r w:rsidRPr="00A11D91">
        <w:rPr>
          <w:rFonts w:ascii="Times New Roman" w:hAnsi="Times New Roman" w:cs="Times New Roman"/>
          <w:color w:val="000000"/>
          <w:sz w:val="28"/>
          <w:szCs w:val="28"/>
          <w:shd w:val="clear" w:color="auto" w:fill="FFFFFF"/>
        </w:rPr>
        <w:t>Volvo</w:t>
      </w:r>
      <w:proofErr w:type="spellEnd"/>
      <w:r w:rsidRPr="00A11D91">
        <w:rPr>
          <w:rFonts w:ascii="Times New Roman" w:hAnsi="Times New Roman" w:cs="Times New Roman"/>
          <w:color w:val="000000"/>
          <w:sz w:val="28"/>
          <w:szCs w:val="28"/>
          <w:shd w:val="clear" w:color="auto" w:fill="FFFFFF"/>
        </w:rPr>
        <w:t>/</w:t>
      </w:r>
      <w:proofErr w:type="spellStart"/>
      <w:r w:rsidRPr="00A11D91">
        <w:rPr>
          <w:rFonts w:ascii="Times New Roman" w:hAnsi="Times New Roman" w:cs="Times New Roman"/>
          <w:color w:val="000000"/>
          <w:sz w:val="28"/>
          <w:szCs w:val="28"/>
          <w:shd w:val="clear" w:color="auto" w:fill="FFFFFF"/>
        </w:rPr>
        <w:t>Renault</w:t>
      </w:r>
      <w:proofErr w:type="spellEnd"/>
      <w:r w:rsidRPr="00A11D91">
        <w:rPr>
          <w:rFonts w:ascii="Times New Roman" w:hAnsi="Times New Roman" w:cs="Times New Roman"/>
          <w:color w:val="000000"/>
          <w:sz w:val="28"/>
          <w:szCs w:val="28"/>
          <w:shd w:val="clear" w:color="auto" w:fill="FFFFFF"/>
        </w:rPr>
        <w:t xml:space="preserve"> – 670,4 млн евро (40 процентов за сотрудничество со следствием);  </w:t>
      </w:r>
      <w:proofErr w:type="spellStart"/>
      <w:r w:rsidRPr="00A11D91">
        <w:rPr>
          <w:rFonts w:ascii="Times New Roman" w:hAnsi="Times New Roman" w:cs="Times New Roman"/>
          <w:color w:val="000000"/>
          <w:sz w:val="28"/>
          <w:szCs w:val="28"/>
          <w:shd w:val="clear" w:color="auto" w:fill="FFFFFF"/>
        </w:rPr>
        <w:t>Iveco</w:t>
      </w:r>
      <w:proofErr w:type="spellEnd"/>
      <w:r w:rsidRPr="00A11D91">
        <w:rPr>
          <w:rFonts w:ascii="Times New Roman" w:hAnsi="Times New Roman" w:cs="Times New Roman"/>
          <w:color w:val="000000"/>
          <w:sz w:val="28"/>
          <w:szCs w:val="28"/>
          <w:shd w:val="clear" w:color="auto" w:fill="FFFFFF"/>
        </w:rPr>
        <w:t xml:space="preserve"> – 494,6 млн евро (20 процентов скидки за сотрудничество и соглашение) </w:t>
      </w:r>
    </w:p>
    <w:p w14:paraId="262AC5F5" w14:textId="77777777" w:rsidR="00A11D91" w:rsidRPr="00A11D91" w:rsidRDefault="00A11D91" w:rsidP="00A11D91">
      <w:pPr>
        <w:pStyle w:val="a3"/>
        <w:ind w:left="1440"/>
        <w:rPr>
          <w:rFonts w:ascii="Times New Roman" w:hAnsi="Times New Roman" w:cs="Times New Roman"/>
          <w:sz w:val="28"/>
          <w:szCs w:val="28"/>
        </w:rPr>
      </w:pPr>
      <w:r w:rsidRPr="00A11D91">
        <w:rPr>
          <w:rFonts w:ascii="Times New Roman" w:hAnsi="Times New Roman" w:cs="Times New Roman"/>
          <w:color w:val="000000"/>
          <w:sz w:val="28"/>
          <w:szCs w:val="28"/>
          <w:shd w:val="clear" w:color="auto" w:fill="FFFFFF"/>
        </w:rPr>
        <w:t xml:space="preserve">2) </w:t>
      </w:r>
      <w:r w:rsidRPr="00A11D91">
        <w:rPr>
          <w:rFonts w:ascii="Times New Roman" w:hAnsi="Times New Roman" w:cs="Times New Roman"/>
          <w:sz w:val="28"/>
          <w:szCs w:val="28"/>
        </w:rPr>
        <w:t xml:space="preserve">С помощью программы освобождения от ответственности было выявлено картельное соглашение. Компания </w:t>
      </w:r>
      <w:proofErr w:type="spellStart"/>
      <w:r w:rsidRPr="00A11D91">
        <w:rPr>
          <w:rFonts w:ascii="Times New Roman" w:hAnsi="Times New Roman" w:cs="Times New Roman"/>
          <w:color w:val="000000"/>
          <w:sz w:val="28"/>
          <w:szCs w:val="28"/>
          <w:shd w:val="clear" w:color="auto" w:fill="FFFFFF"/>
        </w:rPr>
        <w:t>Chunghwa</w:t>
      </w:r>
      <w:proofErr w:type="spellEnd"/>
      <w:r w:rsidRPr="00A11D91">
        <w:rPr>
          <w:rFonts w:ascii="Times New Roman" w:hAnsi="Times New Roman" w:cs="Times New Roman"/>
          <w:sz w:val="28"/>
          <w:szCs w:val="28"/>
        </w:rPr>
        <w:t xml:space="preserve"> заявило о существовании соглашения и предприняла содействие следствию, за что была освобождена от ответственности</w:t>
      </w:r>
    </w:p>
    <w:p w14:paraId="51F91508" w14:textId="77777777" w:rsidR="00A11D91" w:rsidRPr="00A11D91" w:rsidRDefault="00A11D91" w:rsidP="00A11D91">
      <w:pPr>
        <w:pStyle w:val="a3"/>
        <w:numPr>
          <w:ilvl w:val="0"/>
          <w:numId w:val="1"/>
        </w:numPr>
        <w:rPr>
          <w:rFonts w:ascii="Times New Roman" w:hAnsi="Times New Roman" w:cs="Times New Roman"/>
          <w:sz w:val="28"/>
          <w:szCs w:val="28"/>
        </w:rPr>
      </w:pPr>
      <w:r w:rsidRPr="00A11D91">
        <w:rPr>
          <w:rFonts w:ascii="Times New Roman" w:hAnsi="Times New Roman" w:cs="Times New Roman"/>
          <w:sz w:val="28"/>
          <w:szCs w:val="28"/>
        </w:rPr>
        <w:t>1) Так как компании контролировали большую часть рынка (Компании занимали практически 90 процентов европейского рынка, что видно из структуры оборотов реализации на рынке) возникла благоприятная для монопольного сговора ситуация. 2)В период действия картельного соглашения происходил переход на более совершенные модели с ЖК мониторами, что переориентировало компании производящие телевизоры на другой рынок, что в свою очередь позволило крупнейшим компаниям занять большую долю в структуре рынка ЭЛТ телевизоров. Таким образом образовалась благоприятная для возникновения картельного сговора ситуация.</w:t>
      </w:r>
    </w:p>
    <w:p w14:paraId="129B5DD8" w14:textId="77777777" w:rsidR="00A11D91" w:rsidRPr="00A11D91" w:rsidRDefault="00A11D91">
      <w:pPr>
        <w:rPr>
          <w:rFonts w:ascii="Times New Roman" w:hAnsi="Times New Roman" w:cs="Times New Roman"/>
          <w:sz w:val="28"/>
          <w:szCs w:val="28"/>
        </w:rPr>
      </w:pPr>
    </w:p>
    <w:p w14:paraId="3153EBC5" w14:textId="696E0BF7" w:rsidR="00A11D91" w:rsidRPr="00A11D91" w:rsidRDefault="00A11D91">
      <w:pPr>
        <w:rPr>
          <w:rFonts w:ascii="Times New Roman" w:hAnsi="Times New Roman" w:cs="Times New Roman"/>
          <w:b/>
          <w:bCs/>
          <w:sz w:val="28"/>
          <w:szCs w:val="28"/>
        </w:rPr>
      </w:pPr>
      <w:r w:rsidRPr="00A11D91">
        <w:rPr>
          <w:rFonts w:ascii="Times New Roman" w:hAnsi="Times New Roman" w:cs="Times New Roman"/>
          <w:b/>
          <w:bCs/>
          <w:sz w:val="28"/>
          <w:szCs w:val="28"/>
        </w:rPr>
        <w:t xml:space="preserve">Кейс 4 </w:t>
      </w:r>
    </w:p>
    <w:tbl>
      <w:tblPr>
        <w:tblStyle w:val="a4"/>
        <w:tblpPr w:leftFromText="180" w:rightFromText="180" w:horzAnchor="margin" w:tblpY="705"/>
        <w:tblW w:w="9614" w:type="dxa"/>
        <w:tblLook w:val="04A0" w:firstRow="1" w:lastRow="0" w:firstColumn="1" w:lastColumn="0" w:noHBand="0" w:noVBand="1"/>
      </w:tblPr>
      <w:tblGrid>
        <w:gridCol w:w="4806"/>
        <w:gridCol w:w="4808"/>
      </w:tblGrid>
      <w:tr w:rsidR="00A11D91" w:rsidRPr="00A11D91" w14:paraId="276A2DB9" w14:textId="77777777" w:rsidTr="00B801DE">
        <w:trPr>
          <w:trHeight w:val="1156"/>
        </w:trPr>
        <w:tc>
          <w:tcPr>
            <w:tcW w:w="4806" w:type="dxa"/>
          </w:tcPr>
          <w:p w14:paraId="4E60767B" w14:textId="77777777" w:rsidR="00A11D91" w:rsidRPr="00A11D91" w:rsidRDefault="00A11D91" w:rsidP="00B801DE">
            <w:pPr>
              <w:jc w:val="center"/>
              <w:rPr>
                <w:rFonts w:ascii="Times New Roman" w:hAnsi="Times New Roman" w:cs="Times New Roman"/>
                <w:sz w:val="28"/>
                <w:szCs w:val="28"/>
              </w:rPr>
            </w:pPr>
            <w:bookmarkStart w:id="0" w:name="_Hlk35870921"/>
            <w:r w:rsidRPr="00A11D91">
              <w:rPr>
                <w:rFonts w:ascii="Times New Roman" w:hAnsi="Times New Roman" w:cs="Times New Roman"/>
                <w:sz w:val="28"/>
                <w:szCs w:val="28"/>
                <w:shd w:val="clear" w:color="auto" w:fill="FFFFFF"/>
              </w:rPr>
              <w:lastRenderedPageBreak/>
              <w:t>№ дела, дата возбуждения</w:t>
            </w:r>
          </w:p>
        </w:tc>
        <w:tc>
          <w:tcPr>
            <w:tcW w:w="4808" w:type="dxa"/>
          </w:tcPr>
          <w:p w14:paraId="65AE1EBA" w14:textId="77777777" w:rsidR="00A11D91" w:rsidRPr="00A11D91" w:rsidRDefault="00A11D91" w:rsidP="00B801DE">
            <w:pPr>
              <w:pStyle w:val="3"/>
              <w:shd w:val="clear" w:color="auto" w:fill="FFFFFF"/>
              <w:spacing w:before="0" w:beforeAutospacing="0" w:after="0" w:afterAutospacing="0"/>
              <w:jc w:val="center"/>
              <w:rPr>
                <w:b w:val="0"/>
                <w:bCs w:val="0"/>
                <w:sz w:val="28"/>
                <w:szCs w:val="28"/>
              </w:rPr>
            </w:pPr>
            <w:r w:rsidRPr="00A11D91">
              <w:rPr>
                <w:b w:val="0"/>
                <w:bCs w:val="0"/>
                <w:sz w:val="28"/>
                <w:szCs w:val="28"/>
              </w:rPr>
              <w:t>Дело №016/01/11-1230/2019</w:t>
            </w:r>
          </w:p>
          <w:p w14:paraId="63DDC1CD" w14:textId="77777777" w:rsidR="00A11D91" w:rsidRPr="00A11D91" w:rsidRDefault="00A11D91" w:rsidP="00B801DE">
            <w:pPr>
              <w:pStyle w:val="3"/>
              <w:shd w:val="clear" w:color="auto" w:fill="FFFFFF"/>
              <w:spacing w:before="0" w:beforeAutospacing="0" w:after="0" w:afterAutospacing="0"/>
              <w:jc w:val="center"/>
              <w:rPr>
                <w:b w:val="0"/>
                <w:bCs w:val="0"/>
                <w:sz w:val="28"/>
                <w:szCs w:val="28"/>
              </w:rPr>
            </w:pPr>
            <w:r w:rsidRPr="00A11D91">
              <w:rPr>
                <w:b w:val="0"/>
                <w:bCs w:val="0"/>
                <w:sz w:val="28"/>
                <w:szCs w:val="28"/>
              </w:rPr>
              <w:t>от 15 августа 2019 г.</w:t>
            </w:r>
          </w:p>
          <w:p w14:paraId="4D60B575" w14:textId="77777777" w:rsidR="00A11D91" w:rsidRPr="00C43F84" w:rsidRDefault="00A11D91" w:rsidP="00B801DE">
            <w:pPr>
              <w:shd w:val="clear" w:color="auto" w:fill="FFFFFF"/>
              <w:jc w:val="center"/>
              <w:outlineLvl w:val="2"/>
              <w:rPr>
                <w:rFonts w:ascii="Times New Roman" w:eastAsia="Times New Roman" w:hAnsi="Times New Roman" w:cs="Times New Roman"/>
                <w:sz w:val="28"/>
                <w:szCs w:val="28"/>
                <w:lang w:eastAsia="ru-RU"/>
              </w:rPr>
            </w:pPr>
          </w:p>
          <w:p w14:paraId="121E1722" w14:textId="77777777" w:rsidR="00A11D91" w:rsidRPr="00A11D91" w:rsidRDefault="00A11D91" w:rsidP="00B801DE">
            <w:pPr>
              <w:jc w:val="center"/>
              <w:rPr>
                <w:rFonts w:ascii="Times New Roman" w:hAnsi="Times New Roman" w:cs="Times New Roman"/>
                <w:sz w:val="28"/>
                <w:szCs w:val="28"/>
              </w:rPr>
            </w:pPr>
          </w:p>
        </w:tc>
      </w:tr>
      <w:tr w:rsidR="00A11D91" w:rsidRPr="00A11D91" w14:paraId="29BE7066" w14:textId="77777777" w:rsidTr="00B801DE">
        <w:trPr>
          <w:trHeight w:val="860"/>
        </w:trPr>
        <w:tc>
          <w:tcPr>
            <w:tcW w:w="4806" w:type="dxa"/>
          </w:tcPr>
          <w:p w14:paraId="2F68D8CA" w14:textId="77777777" w:rsidR="00A11D91" w:rsidRPr="00A11D91" w:rsidRDefault="00A11D91" w:rsidP="00B801DE">
            <w:pPr>
              <w:jc w:val="center"/>
              <w:rPr>
                <w:rFonts w:ascii="Times New Roman" w:hAnsi="Times New Roman" w:cs="Times New Roman"/>
                <w:sz w:val="28"/>
                <w:szCs w:val="28"/>
              </w:rPr>
            </w:pPr>
            <w:r w:rsidRPr="00A11D91">
              <w:rPr>
                <w:rFonts w:ascii="Times New Roman" w:hAnsi="Times New Roman" w:cs="Times New Roman"/>
                <w:sz w:val="28"/>
                <w:szCs w:val="28"/>
                <w:shd w:val="clear" w:color="auto" w:fill="FFFFFF"/>
              </w:rPr>
              <w:t>Статья Закона о защите конкуренции</w:t>
            </w:r>
          </w:p>
        </w:tc>
        <w:tc>
          <w:tcPr>
            <w:tcW w:w="4808" w:type="dxa"/>
          </w:tcPr>
          <w:p w14:paraId="64519B44" w14:textId="77777777" w:rsidR="00A11D91" w:rsidRPr="00A11D91" w:rsidRDefault="00A11D91" w:rsidP="00B801DE">
            <w:pPr>
              <w:jc w:val="center"/>
              <w:rPr>
                <w:rFonts w:ascii="Times New Roman" w:hAnsi="Times New Roman" w:cs="Times New Roman"/>
                <w:sz w:val="28"/>
                <w:szCs w:val="28"/>
              </w:rPr>
            </w:pPr>
            <w:r w:rsidRPr="00A11D91">
              <w:rPr>
                <w:rFonts w:ascii="Times New Roman" w:hAnsi="Times New Roman" w:cs="Times New Roman"/>
                <w:sz w:val="28"/>
                <w:szCs w:val="28"/>
                <w:shd w:val="clear" w:color="auto" w:fill="FFFFFF"/>
              </w:rPr>
              <w:t>пункт 1 части 1 статьи 11 (Установление или поддержание цен (тарифов))</w:t>
            </w:r>
          </w:p>
        </w:tc>
      </w:tr>
      <w:tr w:rsidR="00A11D91" w:rsidRPr="00A11D91" w14:paraId="1C562129" w14:textId="77777777" w:rsidTr="00B801DE">
        <w:trPr>
          <w:trHeight w:val="2878"/>
        </w:trPr>
        <w:tc>
          <w:tcPr>
            <w:tcW w:w="4806" w:type="dxa"/>
          </w:tcPr>
          <w:p w14:paraId="09EAB3BA" w14:textId="77777777" w:rsidR="00A11D91" w:rsidRPr="00A11D91" w:rsidRDefault="00A11D91" w:rsidP="00B801DE">
            <w:pPr>
              <w:jc w:val="center"/>
              <w:rPr>
                <w:rFonts w:ascii="Times New Roman" w:hAnsi="Times New Roman" w:cs="Times New Roman"/>
                <w:sz w:val="28"/>
                <w:szCs w:val="28"/>
              </w:rPr>
            </w:pPr>
            <w:r w:rsidRPr="00A11D91">
              <w:rPr>
                <w:rFonts w:ascii="Times New Roman" w:hAnsi="Times New Roman" w:cs="Times New Roman"/>
                <w:sz w:val="28"/>
                <w:szCs w:val="28"/>
                <w:shd w:val="clear" w:color="auto" w:fill="FFFFFF"/>
              </w:rPr>
              <w:t>Основание для возбуждения дела</w:t>
            </w:r>
          </w:p>
        </w:tc>
        <w:tc>
          <w:tcPr>
            <w:tcW w:w="4808" w:type="dxa"/>
          </w:tcPr>
          <w:p w14:paraId="0BFDA2AB" w14:textId="77777777" w:rsidR="00A11D91" w:rsidRPr="00A11D91" w:rsidRDefault="00A11D91" w:rsidP="00B801DE">
            <w:pPr>
              <w:jc w:val="center"/>
              <w:rPr>
                <w:rFonts w:ascii="Times New Roman" w:hAnsi="Times New Roman" w:cs="Times New Roman"/>
                <w:sz w:val="28"/>
                <w:szCs w:val="28"/>
              </w:rPr>
            </w:pPr>
            <w:r w:rsidRPr="00A11D91">
              <w:rPr>
                <w:rFonts w:ascii="Times New Roman" w:hAnsi="Times New Roman" w:cs="Times New Roman"/>
                <w:sz w:val="28"/>
                <w:szCs w:val="28"/>
                <w:shd w:val="clear" w:color="auto" w:fill="FFFFFF"/>
              </w:rPr>
              <w:t>по признакам нарушения ООО «Полигон» (ИНН 1650340486) и АО «</w:t>
            </w:r>
            <w:proofErr w:type="spellStart"/>
            <w:r w:rsidRPr="00A11D91">
              <w:rPr>
                <w:rFonts w:ascii="Times New Roman" w:hAnsi="Times New Roman" w:cs="Times New Roman"/>
                <w:sz w:val="28"/>
                <w:szCs w:val="28"/>
                <w:shd w:val="clear" w:color="auto" w:fill="FFFFFF"/>
              </w:rPr>
              <w:t>Экопром</w:t>
            </w:r>
            <w:proofErr w:type="spellEnd"/>
            <w:r w:rsidRPr="00A11D91">
              <w:rPr>
                <w:rFonts w:ascii="Times New Roman" w:hAnsi="Times New Roman" w:cs="Times New Roman"/>
                <w:sz w:val="28"/>
                <w:szCs w:val="28"/>
                <w:shd w:val="clear" w:color="auto" w:fill="FFFFFF"/>
              </w:rPr>
              <w:t>» (ИНН 1650246420) пункта 1 части 1 статьи 11 Федерального закона от 26.07.2006 №135-ФЗ «О защите конкуренции», что выразилось в заключении соглашения, которое приводит к установлению завышенного тарифа на услуги ООО «</w:t>
            </w:r>
            <w:proofErr w:type="spellStart"/>
            <w:r w:rsidRPr="00A11D91">
              <w:rPr>
                <w:rFonts w:ascii="Times New Roman" w:hAnsi="Times New Roman" w:cs="Times New Roman"/>
                <w:sz w:val="28"/>
                <w:szCs w:val="28"/>
                <w:shd w:val="clear" w:color="auto" w:fill="FFFFFF"/>
              </w:rPr>
              <w:t>КомунСервис</w:t>
            </w:r>
            <w:proofErr w:type="spellEnd"/>
            <w:r w:rsidRPr="00A11D91">
              <w:rPr>
                <w:rFonts w:ascii="Times New Roman" w:hAnsi="Times New Roman" w:cs="Times New Roman"/>
                <w:sz w:val="28"/>
                <w:szCs w:val="28"/>
                <w:shd w:val="clear" w:color="auto" w:fill="FFFFFF"/>
              </w:rPr>
              <w:t>».</w:t>
            </w:r>
          </w:p>
        </w:tc>
      </w:tr>
      <w:tr w:rsidR="00A11D91" w:rsidRPr="00A11D91" w14:paraId="551AA5EE" w14:textId="77777777" w:rsidTr="00B801DE">
        <w:trPr>
          <w:trHeight w:val="860"/>
        </w:trPr>
        <w:tc>
          <w:tcPr>
            <w:tcW w:w="4806" w:type="dxa"/>
          </w:tcPr>
          <w:p w14:paraId="2F42EDB9" w14:textId="77777777" w:rsidR="00A11D91" w:rsidRPr="00A11D91" w:rsidRDefault="00A11D91" w:rsidP="00B801DE">
            <w:pPr>
              <w:jc w:val="center"/>
              <w:rPr>
                <w:rFonts w:ascii="Times New Roman" w:hAnsi="Times New Roman" w:cs="Times New Roman"/>
                <w:sz w:val="28"/>
                <w:szCs w:val="28"/>
              </w:rPr>
            </w:pPr>
            <w:r w:rsidRPr="00A11D91">
              <w:rPr>
                <w:rFonts w:ascii="Times New Roman" w:hAnsi="Times New Roman" w:cs="Times New Roman"/>
                <w:sz w:val="28"/>
                <w:szCs w:val="28"/>
                <w:shd w:val="clear" w:color="auto" w:fill="FFFFFF"/>
              </w:rPr>
              <w:t>Количество участников в картели</w:t>
            </w:r>
          </w:p>
        </w:tc>
        <w:tc>
          <w:tcPr>
            <w:tcW w:w="4808" w:type="dxa"/>
          </w:tcPr>
          <w:p w14:paraId="35A6A527" w14:textId="77777777" w:rsidR="00A11D91" w:rsidRPr="00A11D91" w:rsidRDefault="00A11D91" w:rsidP="00B801DE">
            <w:pPr>
              <w:jc w:val="center"/>
              <w:rPr>
                <w:rFonts w:ascii="Times New Roman" w:hAnsi="Times New Roman" w:cs="Times New Roman"/>
                <w:sz w:val="28"/>
                <w:szCs w:val="28"/>
              </w:rPr>
            </w:pPr>
            <w:r w:rsidRPr="00A11D91">
              <w:rPr>
                <w:rFonts w:ascii="Times New Roman" w:hAnsi="Times New Roman" w:cs="Times New Roman"/>
                <w:sz w:val="28"/>
                <w:szCs w:val="28"/>
              </w:rPr>
              <w:t xml:space="preserve">Компании: </w:t>
            </w:r>
            <w:r w:rsidRPr="00A11D91">
              <w:rPr>
                <w:rFonts w:ascii="Times New Roman" w:hAnsi="Times New Roman" w:cs="Times New Roman"/>
                <w:sz w:val="28"/>
                <w:szCs w:val="28"/>
                <w:shd w:val="clear" w:color="auto" w:fill="FFFFFF"/>
              </w:rPr>
              <w:t>ООО «Полигон» (ИНН 1650340486) и АО «</w:t>
            </w:r>
            <w:proofErr w:type="spellStart"/>
            <w:r w:rsidRPr="00A11D91">
              <w:rPr>
                <w:rFonts w:ascii="Times New Roman" w:hAnsi="Times New Roman" w:cs="Times New Roman"/>
                <w:sz w:val="28"/>
                <w:szCs w:val="28"/>
                <w:shd w:val="clear" w:color="auto" w:fill="FFFFFF"/>
              </w:rPr>
              <w:t>Экопром</w:t>
            </w:r>
            <w:proofErr w:type="spellEnd"/>
            <w:r w:rsidRPr="00A11D91">
              <w:rPr>
                <w:rFonts w:ascii="Times New Roman" w:hAnsi="Times New Roman" w:cs="Times New Roman"/>
                <w:sz w:val="28"/>
                <w:szCs w:val="28"/>
                <w:shd w:val="clear" w:color="auto" w:fill="FFFFFF"/>
              </w:rPr>
              <w:t>» (ИНН 1650246420)</w:t>
            </w:r>
          </w:p>
        </w:tc>
      </w:tr>
      <w:tr w:rsidR="00A11D91" w:rsidRPr="00A11D91" w14:paraId="4252328C" w14:textId="77777777" w:rsidTr="00B801DE">
        <w:trPr>
          <w:trHeight w:val="282"/>
        </w:trPr>
        <w:tc>
          <w:tcPr>
            <w:tcW w:w="4806" w:type="dxa"/>
          </w:tcPr>
          <w:p w14:paraId="7A5C705A" w14:textId="77777777" w:rsidR="00A11D91" w:rsidRPr="00A11D91" w:rsidRDefault="00A11D91" w:rsidP="00B801DE">
            <w:pPr>
              <w:jc w:val="center"/>
              <w:rPr>
                <w:rFonts w:ascii="Times New Roman" w:hAnsi="Times New Roman" w:cs="Times New Roman"/>
                <w:sz w:val="28"/>
                <w:szCs w:val="28"/>
              </w:rPr>
            </w:pPr>
            <w:r w:rsidRPr="00A11D91">
              <w:rPr>
                <w:rFonts w:ascii="Times New Roman" w:hAnsi="Times New Roman" w:cs="Times New Roman"/>
                <w:sz w:val="28"/>
                <w:szCs w:val="28"/>
                <w:shd w:val="clear" w:color="auto" w:fill="FFFFFF"/>
              </w:rPr>
              <w:t>Период длительности картеля</w:t>
            </w:r>
          </w:p>
        </w:tc>
        <w:tc>
          <w:tcPr>
            <w:tcW w:w="4808" w:type="dxa"/>
          </w:tcPr>
          <w:p w14:paraId="474F252E" w14:textId="77777777" w:rsidR="00A11D91" w:rsidRPr="00A11D91" w:rsidRDefault="00A11D91" w:rsidP="00B801DE">
            <w:pPr>
              <w:jc w:val="center"/>
              <w:rPr>
                <w:rFonts w:ascii="Times New Roman" w:hAnsi="Times New Roman" w:cs="Times New Roman"/>
                <w:sz w:val="28"/>
                <w:szCs w:val="28"/>
              </w:rPr>
            </w:pPr>
            <w:r w:rsidRPr="00A11D91">
              <w:rPr>
                <w:rFonts w:ascii="Times New Roman" w:hAnsi="Times New Roman" w:cs="Times New Roman"/>
                <w:sz w:val="28"/>
                <w:szCs w:val="28"/>
              </w:rPr>
              <w:t>3 года</w:t>
            </w:r>
          </w:p>
        </w:tc>
      </w:tr>
      <w:tr w:rsidR="00A11D91" w:rsidRPr="00A11D91" w14:paraId="4FD08292" w14:textId="77777777" w:rsidTr="00B801DE">
        <w:trPr>
          <w:trHeight w:val="1439"/>
        </w:trPr>
        <w:tc>
          <w:tcPr>
            <w:tcW w:w="4806" w:type="dxa"/>
          </w:tcPr>
          <w:p w14:paraId="666A00B8" w14:textId="77777777" w:rsidR="00A11D91" w:rsidRPr="00A11D91" w:rsidRDefault="00A11D91" w:rsidP="00B801DE">
            <w:pPr>
              <w:jc w:val="center"/>
              <w:rPr>
                <w:rFonts w:ascii="Times New Roman" w:hAnsi="Times New Roman" w:cs="Times New Roman"/>
                <w:sz w:val="28"/>
                <w:szCs w:val="28"/>
              </w:rPr>
            </w:pPr>
            <w:r w:rsidRPr="00A11D91">
              <w:rPr>
                <w:rFonts w:ascii="Times New Roman" w:hAnsi="Times New Roman" w:cs="Times New Roman"/>
                <w:sz w:val="28"/>
                <w:szCs w:val="28"/>
                <w:shd w:val="clear" w:color="auto" w:fill="FFFFFF"/>
              </w:rPr>
              <w:t>Сведения о принятом решении по делу о нарушении АМЗ</w:t>
            </w:r>
          </w:p>
        </w:tc>
        <w:tc>
          <w:tcPr>
            <w:tcW w:w="4808" w:type="dxa"/>
          </w:tcPr>
          <w:p w14:paraId="0BAA8736" w14:textId="77777777" w:rsidR="00A11D91" w:rsidRPr="00A11D91" w:rsidRDefault="00A11D91" w:rsidP="00B801DE">
            <w:pPr>
              <w:pStyle w:val="3"/>
              <w:shd w:val="clear" w:color="auto" w:fill="FFFFFF"/>
              <w:spacing w:before="0" w:beforeAutospacing="0" w:after="0" w:afterAutospacing="0"/>
              <w:jc w:val="center"/>
              <w:rPr>
                <w:b w:val="0"/>
                <w:bCs w:val="0"/>
                <w:sz w:val="28"/>
                <w:szCs w:val="28"/>
              </w:rPr>
            </w:pPr>
            <w:r w:rsidRPr="00A11D91">
              <w:rPr>
                <w:b w:val="0"/>
                <w:bCs w:val="0"/>
                <w:sz w:val="28"/>
                <w:szCs w:val="28"/>
              </w:rPr>
              <w:t>Подробности расписаны в «Решение №АР-05/702 Решение по делу №016/01/11-1230/2019 от 24 января 2020 г.</w:t>
            </w:r>
          </w:p>
          <w:p w14:paraId="2811D977" w14:textId="77777777" w:rsidR="00A11D91" w:rsidRPr="00A11D91" w:rsidRDefault="00A11D91" w:rsidP="00B801DE">
            <w:pPr>
              <w:jc w:val="center"/>
              <w:rPr>
                <w:rFonts w:ascii="Times New Roman" w:hAnsi="Times New Roman" w:cs="Times New Roman"/>
                <w:sz w:val="28"/>
                <w:szCs w:val="28"/>
              </w:rPr>
            </w:pPr>
            <w:r w:rsidRPr="00A11D91">
              <w:rPr>
                <w:rFonts w:ascii="Times New Roman" w:hAnsi="Times New Roman" w:cs="Times New Roman"/>
                <w:sz w:val="28"/>
                <w:szCs w:val="28"/>
              </w:rPr>
              <w:t>»</w:t>
            </w:r>
          </w:p>
        </w:tc>
      </w:tr>
      <w:tr w:rsidR="00A11D91" w:rsidRPr="00A11D91" w14:paraId="3D4D9BE6" w14:textId="77777777" w:rsidTr="00B801DE">
        <w:trPr>
          <w:trHeight w:val="282"/>
        </w:trPr>
        <w:tc>
          <w:tcPr>
            <w:tcW w:w="4806" w:type="dxa"/>
          </w:tcPr>
          <w:p w14:paraId="0D2DFACD" w14:textId="77777777" w:rsidR="00A11D91" w:rsidRPr="00A11D91" w:rsidRDefault="00A11D91" w:rsidP="00B801DE">
            <w:pPr>
              <w:jc w:val="center"/>
              <w:rPr>
                <w:rFonts w:ascii="Times New Roman" w:hAnsi="Times New Roman" w:cs="Times New Roman"/>
                <w:sz w:val="28"/>
                <w:szCs w:val="28"/>
              </w:rPr>
            </w:pPr>
            <w:r w:rsidRPr="00A11D91">
              <w:rPr>
                <w:rFonts w:ascii="Times New Roman" w:hAnsi="Times New Roman" w:cs="Times New Roman"/>
                <w:sz w:val="28"/>
                <w:szCs w:val="28"/>
                <w:shd w:val="clear" w:color="auto" w:fill="FFFFFF"/>
              </w:rPr>
              <w:t>Вынесенные штрафы</w:t>
            </w:r>
          </w:p>
        </w:tc>
        <w:tc>
          <w:tcPr>
            <w:tcW w:w="4808" w:type="dxa"/>
          </w:tcPr>
          <w:p w14:paraId="37FB4332" w14:textId="77777777" w:rsidR="00A11D91" w:rsidRPr="00A11D91" w:rsidRDefault="00A11D91" w:rsidP="00B801DE">
            <w:pPr>
              <w:jc w:val="center"/>
              <w:rPr>
                <w:rFonts w:ascii="Times New Roman" w:hAnsi="Times New Roman" w:cs="Times New Roman"/>
                <w:sz w:val="28"/>
                <w:szCs w:val="28"/>
              </w:rPr>
            </w:pPr>
            <w:r w:rsidRPr="00A11D91">
              <w:rPr>
                <w:rFonts w:ascii="Times New Roman" w:hAnsi="Times New Roman" w:cs="Times New Roman"/>
                <w:sz w:val="28"/>
                <w:szCs w:val="28"/>
              </w:rPr>
              <w:t>Отсутствуют</w:t>
            </w:r>
          </w:p>
        </w:tc>
      </w:tr>
      <w:tr w:rsidR="00A11D91" w:rsidRPr="00A11D91" w14:paraId="3A398AEA" w14:textId="77777777" w:rsidTr="00B801DE">
        <w:trPr>
          <w:trHeight w:val="860"/>
        </w:trPr>
        <w:tc>
          <w:tcPr>
            <w:tcW w:w="4806" w:type="dxa"/>
          </w:tcPr>
          <w:p w14:paraId="65628C03" w14:textId="77777777" w:rsidR="00A11D91" w:rsidRPr="00A11D91" w:rsidRDefault="00A11D91" w:rsidP="00B801DE">
            <w:pPr>
              <w:jc w:val="center"/>
              <w:rPr>
                <w:rFonts w:ascii="Times New Roman" w:hAnsi="Times New Roman" w:cs="Times New Roman"/>
                <w:sz w:val="28"/>
                <w:szCs w:val="28"/>
              </w:rPr>
            </w:pPr>
            <w:r w:rsidRPr="00A11D91">
              <w:rPr>
                <w:rFonts w:ascii="Times New Roman" w:hAnsi="Times New Roman" w:cs="Times New Roman"/>
                <w:sz w:val="28"/>
                <w:szCs w:val="28"/>
                <w:shd w:val="clear" w:color="auto" w:fill="FFFFFF"/>
              </w:rPr>
              <w:t>Сведения об обжаловании решений, предписаний, постановлений по делу в суде с указанием результатов.</w:t>
            </w:r>
          </w:p>
        </w:tc>
        <w:tc>
          <w:tcPr>
            <w:tcW w:w="4808" w:type="dxa"/>
          </w:tcPr>
          <w:p w14:paraId="10A2378B" w14:textId="77777777" w:rsidR="00A11D91" w:rsidRPr="00A11D91" w:rsidRDefault="00A11D91" w:rsidP="00B801DE">
            <w:pPr>
              <w:jc w:val="center"/>
              <w:rPr>
                <w:rFonts w:ascii="Times New Roman" w:hAnsi="Times New Roman" w:cs="Times New Roman"/>
                <w:sz w:val="28"/>
                <w:szCs w:val="28"/>
              </w:rPr>
            </w:pPr>
            <w:r w:rsidRPr="00A11D91">
              <w:rPr>
                <w:rFonts w:ascii="Times New Roman" w:hAnsi="Times New Roman" w:cs="Times New Roman"/>
                <w:sz w:val="28"/>
                <w:szCs w:val="28"/>
              </w:rPr>
              <w:t>Отсутствуют</w:t>
            </w:r>
          </w:p>
        </w:tc>
      </w:tr>
    </w:tbl>
    <w:p w14:paraId="4C930E6B" w14:textId="77777777" w:rsidR="00A11D91" w:rsidRPr="00A11D91" w:rsidRDefault="00A11D91" w:rsidP="00A11D91">
      <w:pPr>
        <w:spacing w:after="0" w:line="240" w:lineRule="auto"/>
        <w:rPr>
          <w:rFonts w:ascii="Times New Roman" w:hAnsi="Times New Roman" w:cs="Times New Roman"/>
          <w:sz w:val="28"/>
          <w:szCs w:val="28"/>
        </w:rPr>
      </w:pPr>
      <w:r w:rsidRPr="00A11D91">
        <w:rPr>
          <w:rFonts w:ascii="Times New Roman" w:hAnsi="Times New Roman" w:cs="Times New Roman"/>
          <w:sz w:val="28"/>
          <w:szCs w:val="28"/>
        </w:rPr>
        <w:t>№1</w:t>
      </w:r>
    </w:p>
    <w:p w14:paraId="409D0FCA" w14:textId="77777777" w:rsidR="00A11D91" w:rsidRPr="00A11D91" w:rsidRDefault="00A11D91" w:rsidP="00A11D91">
      <w:pPr>
        <w:spacing w:after="0" w:line="240" w:lineRule="auto"/>
        <w:rPr>
          <w:rFonts w:ascii="Times New Roman" w:hAnsi="Times New Roman" w:cs="Times New Roman"/>
          <w:sz w:val="28"/>
          <w:szCs w:val="28"/>
        </w:rPr>
      </w:pPr>
    </w:p>
    <w:p w14:paraId="647387F4" w14:textId="77777777" w:rsidR="00A11D91" w:rsidRPr="00A11D91" w:rsidRDefault="00A11D91" w:rsidP="00A11D91">
      <w:pPr>
        <w:spacing w:after="0" w:line="240" w:lineRule="auto"/>
        <w:rPr>
          <w:rFonts w:ascii="Times New Roman" w:hAnsi="Times New Roman" w:cs="Times New Roman"/>
          <w:sz w:val="28"/>
          <w:szCs w:val="28"/>
        </w:rPr>
      </w:pPr>
    </w:p>
    <w:p w14:paraId="3F339819" w14:textId="77777777" w:rsidR="00A11D91" w:rsidRPr="00A11D91" w:rsidRDefault="00A11D91" w:rsidP="00A11D91">
      <w:pPr>
        <w:spacing w:after="0" w:line="240" w:lineRule="auto"/>
        <w:rPr>
          <w:rFonts w:ascii="Times New Roman" w:hAnsi="Times New Roman" w:cs="Times New Roman"/>
          <w:sz w:val="28"/>
          <w:szCs w:val="28"/>
        </w:rPr>
      </w:pPr>
      <w:r w:rsidRPr="00A11D91">
        <w:rPr>
          <w:rFonts w:ascii="Times New Roman" w:hAnsi="Times New Roman" w:cs="Times New Roman"/>
          <w:sz w:val="28"/>
          <w:szCs w:val="28"/>
        </w:rPr>
        <w:t>№ 2</w:t>
      </w:r>
    </w:p>
    <w:p w14:paraId="395EC59C" w14:textId="77777777" w:rsidR="00A11D91" w:rsidRPr="00A11D91" w:rsidRDefault="00A11D91" w:rsidP="00A11D91">
      <w:pPr>
        <w:spacing w:after="0" w:line="240" w:lineRule="auto"/>
        <w:rPr>
          <w:rFonts w:ascii="Times New Roman" w:hAnsi="Times New Roman" w:cs="Times New Roman"/>
          <w:sz w:val="28"/>
          <w:szCs w:val="28"/>
          <w:shd w:val="clear" w:color="auto" w:fill="FFFFFF"/>
        </w:rPr>
      </w:pPr>
      <w:r w:rsidRPr="00A11D91">
        <w:rPr>
          <w:rFonts w:ascii="Times New Roman" w:hAnsi="Times New Roman" w:cs="Times New Roman"/>
          <w:sz w:val="28"/>
          <w:szCs w:val="28"/>
        </w:rPr>
        <w:t xml:space="preserve">В ходе расследования дела по фирмам </w:t>
      </w:r>
      <w:r w:rsidRPr="00A11D91">
        <w:rPr>
          <w:rFonts w:ascii="Times New Roman" w:hAnsi="Times New Roman" w:cs="Times New Roman"/>
          <w:sz w:val="28"/>
          <w:szCs w:val="28"/>
          <w:shd w:val="clear" w:color="auto" w:fill="FFFFFF"/>
        </w:rPr>
        <w:t>ООО «Полигон» и АО «</w:t>
      </w:r>
      <w:proofErr w:type="spellStart"/>
      <w:r w:rsidRPr="00A11D91">
        <w:rPr>
          <w:rFonts w:ascii="Times New Roman" w:hAnsi="Times New Roman" w:cs="Times New Roman"/>
          <w:sz w:val="28"/>
          <w:szCs w:val="28"/>
          <w:shd w:val="clear" w:color="auto" w:fill="FFFFFF"/>
        </w:rPr>
        <w:t>Экопром</w:t>
      </w:r>
      <w:proofErr w:type="spellEnd"/>
      <w:r w:rsidRPr="00A11D91">
        <w:rPr>
          <w:rFonts w:ascii="Times New Roman" w:hAnsi="Times New Roman" w:cs="Times New Roman"/>
          <w:sz w:val="28"/>
          <w:szCs w:val="28"/>
          <w:shd w:val="clear" w:color="auto" w:fill="FFFFFF"/>
        </w:rPr>
        <w:t>» не использовалась программа по освобождению от наказания (ПОН).</w:t>
      </w:r>
    </w:p>
    <w:p w14:paraId="03CFB2F0" w14:textId="77777777" w:rsidR="00A11D91" w:rsidRPr="00A11D91" w:rsidRDefault="00A11D91" w:rsidP="00A11D91">
      <w:pPr>
        <w:spacing w:after="0" w:line="240" w:lineRule="auto"/>
        <w:rPr>
          <w:rFonts w:ascii="Times New Roman" w:hAnsi="Times New Roman" w:cs="Times New Roman"/>
          <w:sz w:val="28"/>
          <w:szCs w:val="28"/>
          <w:shd w:val="clear" w:color="auto" w:fill="FFFFFF"/>
        </w:rPr>
      </w:pPr>
    </w:p>
    <w:p w14:paraId="52105CAE" w14:textId="77777777" w:rsidR="00A11D91" w:rsidRPr="00A11D91" w:rsidRDefault="00A11D91" w:rsidP="00A11D91">
      <w:pPr>
        <w:spacing w:after="0" w:line="240" w:lineRule="auto"/>
        <w:rPr>
          <w:rFonts w:ascii="Times New Roman" w:hAnsi="Times New Roman" w:cs="Times New Roman"/>
          <w:sz w:val="28"/>
          <w:szCs w:val="28"/>
          <w:shd w:val="clear" w:color="auto" w:fill="FFFFFF"/>
        </w:rPr>
      </w:pPr>
      <w:r w:rsidRPr="00A11D91">
        <w:rPr>
          <w:rFonts w:ascii="Times New Roman" w:hAnsi="Times New Roman" w:cs="Times New Roman"/>
          <w:sz w:val="28"/>
          <w:szCs w:val="28"/>
          <w:shd w:val="clear" w:color="auto" w:fill="FFFFFF"/>
        </w:rPr>
        <w:t>№3</w:t>
      </w:r>
    </w:p>
    <w:p w14:paraId="3DCDE0C4" w14:textId="77777777" w:rsidR="00A11D91" w:rsidRPr="00A11D91" w:rsidRDefault="00A11D91">
      <w:pPr>
        <w:rPr>
          <w:rFonts w:ascii="Times New Roman" w:hAnsi="Times New Roman" w:cs="Times New Roman"/>
          <w:b/>
          <w:bCs/>
          <w:sz w:val="28"/>
          <w:szCs w:val="28"/>
        </w:rPr>
      </w:pPr>
      <w:bookmarkStart w:id="1" w:name="_GoBack"/>
      <w:bookmarkEnd w:id="0"/>
      <w:bookmarkEnd w:id="1"/>
    </w:p>
    <w:sectPr w:rsidR="00A11D91" w:rsidRPr="00A11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7799"/>
    <w:multiLevelType w:val="hybridMultilevel"/>
    <w:tmpl w:val="00B2E7E0"/>
    <w:lvl w:ilvl="0" w:tplc="151C4A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EA"/>
    <w:rsid w:val="00523FD2"/>
    <w:rsid w:val="005404A4"/>
    <w:rsid w:val="00693397"/>
    <w:rsid w:val="00A11D91"/>
    <w:rsid w:val="00EF7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D611"/>
  <w15:chartTrackingRefBased/>
  <w15:docId w15:val="{030A6411-D8B3-40C6-904F-AC0CB8FA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11D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D91"/>
    <w:pPr>
      <w:ind w:left="720"/>
      <w:contextualSpacing/>
    </w:pPr>
  </w:style>
  <w:style w:type="character" w:customStyle="1" w:styleId="30">
    <w:name w:val="Заголовок 3 Знак"/>
    <w:basedOn w:val="a0"/>
    <w:link w:val="3"/>
    <w:uiPriority w:val="9"/>
    <w:rsid w:val="00A11D91"/>
    <w:rPr>
      <w:rFonts w:ascii="Times New Roman" w:eastAsia="Times New Roman" w:hAnsi="Times New Roman" w:cs="Times New Roman"/>
      <w:b/>
      <w:bCs/>
      <w:sz w:val="27"/>
      <w:szCs w:val="27"/>
      <w:lang w:eastAsia="ru-RU"/>
    </w:rPr>
  </w:style>
  <w:style w:type="table" w:styleId="a4">
    <w:name w:val="Table Grid"/>
    <w:basedOn w:val="a1"/>
    <w:uiPriority w:val="39"/>
    <w:rsid w:val="00A11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Эмиль Габдрахманов</dc:creator>
  <cp:keywords/>
  <dc:description/>
  <cp:lastModifiedBy>Эмиль Габдрахманов</cp:lastModifiedBy>
  <cp:revision>3</cp:revision>
  <dcterms:created xsi:type="dcterms:W3CDTF">2020-03-23T07:50:00Z</dcterms:created>
  <dcterms:modified xsi:type="dcterms:W3CDTF">2020-03-23T12:51:00Z</dcterms:modified>
</cp:coreProperties>
</file>