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BB6E4" w14:textId="77777777" w:rsidR="00877057" w:rsidRPr="00BF3CC9" w:rsidRDefault="00877057" w:rsidP="00877057">
      <w:pPr>
        <w:spacing w:after="200" w:line="276" w:lineRule="auto"/>
        <w:jc w:val="center"/>
        <w:rPr>
          <w:rFonts w:ascii="Arial" w:eastAsia="Calibri" w:hAnsi="Arial" w:cs="Arial"/>
          <w:b/>
          <w:sz w:val="24"/>
        </w:rPr>
      </w:pPr>
      <w:r w:rsidRPr="00BF3CC9">
        <w:rPr>
          <w:rFonts w:ascii="Arial" w:eastAsia="Calibri" w:hAnsi="Arial" w:cs="Arial"/>
          <w:b/>
          <w:sz w:val="24"/>
        </w:rPr>
        <w:t>Домашнее задание.</w:t>
      </w:r>
    </w:p>
    <w:p w14:paraId="7ED4182C" w14:textId="77777777" w:rsidR="00877057" w:rsidRPr="00BF3CC9" w:rsidRDefault="00877057" w:rsidP="00877057">
      <w:pPr>
        <w:spacing w:after="200" w:line="276" w:lineRule="auto"/>
        <w:jc w:val="center"/>
        <w:rPr>
          <w:rFonts w:ascii="Arial" w:eastAsia="Calibri" w:hAnsi="Arial" w:cs="Arial"/>
          <w:b/>
          <w:sz w:val="24"/>
        </w:rPr>
      </w:pPr>
      <w:r w:rsidRPr="00BF3CC9">
        <w:rPr>
          <w:rFonts w:ascii="Arial" w:eastAsia="Calibri" w:hAnsi="Arial" w:cs="Arial"/>
          <w:b/>
          <w:sz w:val="24"/>
        </w:rPr>
        <w:t>Модуль 2.</w:t>
      </w:r>
    </w:p>
    <w:p w14:paraId="29B05DE6" w14:textId="77777777" w:rsidR="00877057" w:rsidRPr="00BF3CC9" w:rsidRDefault="00877057" w:rsidP="00877057">
      <w:pPr>
        <w:spacing w:after="200" w:line="276" w:lineRule="auto"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b/>
          <w:sz w:val="24"/>
          <w:u w:val="single"/>
        </w:rPr>
        <w:t>ЗАДАЧА.</w:t>
      </w:r>
      <w:r w:rsidRPr="00BF3CC9">
        <w:rPr>
          <w:rFonts w:ascii="Arial" w:eastAsia="Calibri" w:hAnsi="Arial" w:cs="Arial"/>
          <w:sz w:val="24"/>
        </w:rPr>
        <w:t xml:space="preserve"> При цене 5 рублей объем спроса на товар составляет 20 единиц, а при </w:t>
      </w:r>
      <w:bookmarkStart w:id="0" w:name="_GoBack"/>
      <w:bookmarkEnd w:id="0"/>
      <w:r w:rsidRPr="00BF3CC9">
        <w:rPr>
          <w:rFonts w:ascii="Arial" w:eastAsia="Calibri" w:hAnsi="Arial" w:cs="Arial"/>
          <w:sz w:val="24"/>
        </w:rPr>
        <w:t xml:space="preserve">цене 40 рублей- 10 единиц. Можно ли </w:t>
      </w:r>
      <w:proofErr w:type="gramStart"/>
      <w:r w:rsidRPr="00BF3CC9">
        <w:rPr>
          <w:rFonts w:ascii="Arial" w:eastAsia="Calibri" w:hAnsi="Arial" w:cs="Arial"/>
          <w:sz w:val="24"/>
        </w:rPr>
        <w:t>сказать</w:t>
      </w:r>
      <w:proofErr w:type="gramEnd"/>
      <w:r w:rsidRPr="00BF3CC9">
        <w:rPr>
          <w:rFonts w:ascii="Arial" w:eastAsia="Calibri" w:hAnsi="Arial" w:cs="Arial"/>
          <w:sz w:val="24"/>
        </w:rPr>
        <w:t xml:space="preserve"> что в данном диапазоне цен спрос на товар является эластичным.</w:t>
      </w:r>
    </w:p>
    <w:p w14:paraId="6E0F1B97" w14:textId="77777777" w:rsidR="00877057" w:rsidRPr="00BF3CC9" w:rsidRDefault="00877057" w:rsidP="00877057">
      <w:pPr>
        <w:spacing w:after="200" w:line="276" w:lineRule="auto"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  <w:u w:val="single"/>
        </w:rPr>
        <w:t>Решение:</w:t>
      </w:r>
      <w:r w:rsidRPr="00BF3CC9">
        <w:rPr>
          <w:rFonts w:ascii="Arial" w:eastAsia="Calibri" w:hAnsi="Arial" w:cs="Arial"/>
          <w:sz w:val="24"/>
        </w:rPr>
        <w:t xml:space="preserve"> Epd = (10</w:t>
      </w:r>
      <w:proofErr w:type="gramStart"/>
      <w:r w:rsidRPr="00BF3CC9">
        <w:rPr>
          <w:rFonts w:ascii="Arial" w:eastAsia="Calibri" w:hAnsi="Arial" w:cs="Arial"/>
          <w:sz w:val="24"/>
        </w:rPr>
        <w:t>/(</w:t>
      </w:r>
      <w:proofErr w:type="gramEnd"/>
      <w:r w:rsidRPr="00BF3CC9">
        <w:rPr>
          <w:rFonts w:ascii="Arial" w:eastAsia="Calibri" w:hAnsi="Arial" w:cs="Arial"/>
          <w:sz w:val="24"/>
        </w:rPr>
        <w:t>20-5))/((40-5)/22,5)=0,4 – спрос неэластичен (так как меньше 1)</w:t>
      </w:r>
    </w:p>
    <w:p w14:paraId="54A2644B" w14:textId="77777777" w:rsidR="00877057" w:rsidRPr="00BF3CC9" w:rsidRDefault="00877057" w:rsidP="00877057">
      <w:pPr>
        <w:spacing w:after="200" w:line="276" w:lineRule="auto"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  <w:u w:val="single"/>
        </w:rPr>
        <w:t>Ответ:</w:t>
      </w:r>
      <w:r w:rsidRPr="00BF3CC9">
        <w:rPr>
          <w:rFonts w:ascii="Arial" w:eastAsia="Calibri" w:hAnsi="Arial" w:cs="Arial"/>
          <w:sz w:val="24"/>
        </w:rPr>
        <w:t xml:space="preserve"> 0,4</w:t>
      </w:r>
    </w:p>
    <w:p w14:paraId="74EE7592" w14:textId="77777777" w:rsidR="00877057" w:rsidRPr="00BF3CC9" w:rsidRDefault="00877057" w:rsidP="00877057">
      <w:pPr>
        <w:spacing w:after="200" w:line="276" w:lineRule="auto"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b/>
          <w:sz w:val="24"/>
          <w:u w:val="single"/>
        </w:rPr>
        <w:t>КЕЙС 3.</w:t>
      </w:r>
      <w:r w:rsidRPr="00BF3CC9">
        <w:rPr>
          <w:rFonts w:ascii="Arial" w:eastAsia="Calibri" w:hAnsi="Arial" w:cs="Arial"/>
          <w:sz w:val="24"/>
        </w:rPr>
        <w:t xml:space="preserve"> ЗАДАНИЕ ПО АНАЛИЗУ АНТИКАРТЕЛЬНЫХ ДЕЛ В ЕВРОПЕЙСКОЙ КОМИССИИ НА ОСНОВЕ ДАННЫХ. </w:t>
      </w:r>
    </w:p>
    <w:p w14:paraId="7B216A8E" w14:textId="77777777" w:rsidR="00877057" w:rsidRPr="00BF3CC9" w:rsidRDefault="00877057" w:rsidP="0087705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i/>
          <w:sz w:val="24"/>
        </w:rPr>
      </w:pPr>
      <w:r w:rsidRPr="00BF3CC9">
        <w:rPr>
          <w:rFonts w:ascii="Arial" w:eastAsia="Calibri" w:hAnsi="Arial" w:cs="Arial"/>
          <w:i/>
          <w:sz w:val="24"/>
        </w:rPr>
        <w:t>Выберите случаи, по которым вынесено окончательное решение о наложении санкций (fines).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14:paraId="4C01C7FD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i/>
          <w:sz w:val="24"/>
        </w:rPr>
      </w:pPr>
    </w:p>
    <w:p w14:paraId="7B621F3B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Решение Комиссии по делу производителей профессиональных видеокассет</w:t>
      </w:r>
    </w:p>
    <w:p w14:paraId="7E5510F7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  <w:u w:val="single"/>
        </w:rPr>
        <w:t>Тип нарушения</w:t>
      </w:r>
      <w:r w:rsidRPr="00BF3CC9">
        <w:rPr>
          <w:rFonts w:ascii="Arial" w:eastAsia="Calibri" w:hAnsi="Arial" w:cs="Arial"/>
          <w:sz w:val="24"/>
        </w:rPr>
        <w:t xml:space="preserve"> – фиксированные цены</w:t>
      </w:r>
    </w:p>
    <w:p w14:paraId="2078E1B9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 xml:space="preserve">Антитраст: Штрафы Комиссии по делу производителей профессиональных видеокассет на сумму свыше € 74 миллионов за создание картеля по фиксированию цен Европейская комиссия наложила штрафы, всего на сумму 74 790 000 €, на Sony, Fuji и Maxell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 В период между 1999 и 2002 годами, Sony, Fuji и Maxell контролировали цены как в плане роста, так и во всех остальных отношениях посредством ряда регулярных встреч и других незаконных контактов. Штраф Sony был увеличен на 30% за препятствия работе Комиссии во время локальных проверок его помещений. Штрафы Fuji и Maxell были уменьшены на 40% и 20% соответственно, потому что они сотрудничали с расследованием в соответствии с программой освобождения от ответственности (2002 Leniency Notice). Однако в данном случае освобождения от ответственности не было. Для расчета штрафов в данном деле Комиссия впервые применила новое Руководство </w:t>
      </w:r>
      <w:proofErr w:type="gramStart"/>
      <w:r w:rsidRPr="00BF3CC9">
        <w:rPr>
          <w:rFonts w:ascii="Arial" w:eastAsia="Calibri" w:hAnsi="Arial" w:cs="Arial"/>
          <w:sz w:val="24"/>
        </w:rPr>
        <w:t>2006  .</w:t>
      </w:r>
      <w:proofErr w:type="gramEnd"/>
      <w:r w:rsidRPr="00BF3CC9">
        <w:rPr>
          <w:rFonts w:ascii="Arial" w:eastAsia="Calibri" w:hAnsi="Arial" w:cs="Arial"/>
          <w:sz w:val="24"/>
        </w:rPr>
        <w:t xml:space="preserve"> (€) Sony (Япония) None None 47 190 000 Fuji (Япония) 40% 8 800 000 13 200 000 Maxell (Япония) 20% 3 600 000 14 400 000 Итого 74 790 000 (*) Юридические лица в качестве ответчиков могут быть привлечены совместно и по отдельности по наложенным штрафам целиком или частично. </w:t>
      </w:r>
    </w:p>
    <w:p w14:paraId="587831C6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 xml:space="preserve"> </w:t>
      </w:r>
    </w:p>
    <w:p w14:paraId="161A6248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  <w:u w:val="single"/>
        </w:rPr>
        <w:t>Тип нарушения</w:t>
      </w:r>
      <w:r w:rsidRPr="00BF3CC9">
        <w:rPr>
          <w:rFonts w:ascii="Arial" w:eastAsia="Calibri" w:hAnsi="Arial" w:cs="Arial"/>
          <w:sz w:val="24"/>
        </w:rPr>
        <w:t xml:space="preserve"> – Разделение рынка</w:t>
      </w:r>
    </w:p>
    <w:p w14:paraId="0D392679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 xml:space="preserve">Штрафы Комиссии членов пивного картеля в Нидерландах на сумму свыше € 273 миллионов Европейская Комиссия оштрафовала голландских </w:t>
      </w:r>
      <w:r w:rsidRPr="00BF3CC9">
        <w:rPr>
          <w:rFonts w:ascii="Arial" w:eastAsia="Calibri" w:hAnsi="Arial" w:cs="Arial"/>
          <w:sz w:val="24"/>
        </w:rPr>
        <w:lastRenderedPageBreak/>
        <w:t>пивоваров Heineken, Grolsch и Bavaria на общую сумму € 273 783 000 за создание картеля на рынке пива в Нидерландах в нарушении Соглашения EC о запрете на картели и другие действия по ограничению рыночных отношений (Статья 81). Решение Комиссии включает группу компаний Heineken, Grolsch и Bavaria, вместе с InBev группой, которая также участвовала в картеле. Потребление пива в Нидерландах приблизительно составляет 80 литров на душу населения. В период как минимум между 1996 и 1999 годами эти четыре пивовара провели многочисленные неофициальные встречи, во время которых они координировали цены и повышение цен на пиво в Нидерландах. InBev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14:paraId="648599EA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</w:p>
    <w:p w14:paraId="746E9B6B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После Комиссии, по собственной инициативе раскрыв картель на бельгийском рынке пива, InBev под эгидой программы освобождения от ответственности предоставил информацию о собственном участии в картелях в других европейских странах. Это привело к обыскам пивоваров во Франции, Люксембурге, Италии и Нидерландах. В результате этих расследований были приняты антикартельные решения по Бельгии, Франции и Люксембургу. Итальянское расследование было закрыто без вынесения обвинений.</w:t>
      </w:r>
    </w:p>
    <w:p w14:paraId="524D49E9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</w:p>
    <w:p w14:paraId="7A195B2A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Доказательства.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Heineken, InBev, Grolsch и Bavaria управляли незаконным картелем в Нидерландах. Это также полностью подтверждается корпоративными заявлениями, сделанными InBev.</w:t>
      </w:r>
    </w:p>
    <w:p w14:paraId="39CB4D33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</w:p>
    <w:p w14:paraId="475D6994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Штрафы. Рассмотренные случаи являются очень серьезным нарушением антитрастовых правил Соглашения EC. Штрафы были рассчитаны с учетом размера рынков, продолжительности деятельности картеля и размера вовлеченных фирм.</w:t>
      </w:r>
    </w:p>
    <w:p w14:paraId="65A83A9D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</w:p>
    <w:p w14:paraId="01DD8FCD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€ 100 000.</w:t>
      </w:r>
    </w:p>
    <w:p w14:paraId="2BE25B21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</w:p>
    <w:p w14:paraId="25CEC88D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i/>
          <w:sz w:val="24"/>
        </w:rPr>
      </w:pPr>
    </w:p>
    <w:p w14:paraId="08F07F40" w14:textId="77777777" w:rsidR="00877057" w:rsidRPr="00BF3CC9" w:rsidRDefault="00877057" w:rsidP="0087705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i/>
          <w:sz w:val="24"/>
        </w:rPr>
      </w:pPr>
      <w:r w:rsidRPr="00BF3CC9">
        <w:rPr>
          <w:rFonts w:ascii="Arial" w:eastAsia="Calibri" w:hAnsi="Arial" w:cs="Arial"/>
          <w:i/>
          <w:sz w:val="24"/>
        </w:rPr>
        <w:t>Использовалась ли в ходе дела программа освобождения от ответственности (Leniency Program)? Оцените последствия применения Leniency Program на картель.</w:t>
      </w:r>
    </w:p>
    <w:p w14:paraId="0D4E6C4E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1. В случае с видеокассетами программа не использовалась.</w:t>
      </w:r>
    </w:p>
    <w:p w14:paraId="149DACB4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 xml:space="preserve">2. Во втором случае в Нидерландах Комиссия признает, что расследование в данном случае неоправданно затянулось, и, начиная с обысков, </w:t>
      </w:r>
      <w:r w:rsidRPr="00BF3CC9">
        <w:rPr>
          <w:rFonts w:ascii="Arial" w:eastAsia="Calibri" w:hAnsi="Arial" w:cs="Arial"/>
          <w:sz w:val="24"/>
        </w:rPr>
        <w:lastRenderedPageBreak/>
        <w:t>продлилось свыше семи лет. По этим причинам размер штрафов был уменьшен на € 100 000.</w:t>
      </w:r>
    </w:p>
    <w:p w14:paraId="7FF729FD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Наложенные штрафы и сокращения, предоставленные Комиссией:</w:t>
      </w:r>
    </w:p>
    <w:p w14:paraId="4812BC61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Наименование и месторасположение компании</w:t>
      </w:r>
    </w:p>
    <w:p w14:paraId="11D1BD9E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Уменьшение штрафа в соответствии с Уведомлением о снисхождении</w:t>
      </w:r>
    </w:p>
    <w:p w14:paraId="36640AD9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(%) Уменьшение штрафа в соответствии с Уведомлением о снисхождении</w:t>
      </w:r>
    </w:p>
    <w:p w14:paraId="3701065E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(€) Особые вычеты (euros) Штраф (euros) Heineken NV (NL) &amp; Heineken Nederland BV (NL)(*) 0 0 100 000 219 275 000 InBev NV (B) &amp; InBev Nederland NV (NL)(*) 100 84 375 000 0 0 Grolsch NV (NL) 0 0 100 000 31 658 000 Bavaria NV (NL) 0 0 100 000 22 850 000 Итого 273 783 000 (*) Совместная и индивидуальная ответственность Действия в случае убытков Любой человек или фирма, которых затронуло анти-конкурентное поведение как описано в этом деле, могут вынести вопрос на рассмотрение судов Государств —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14:paraId="3D5E0E54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</w:p>
    <w:p w14:paraId="5C587F9C" w14:textId="77777777" w:rsidR="00877057" w:rsidRPr="00BF3CC9" w:rsidRDefault="00877057" w:rsidP="0087705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i/>
          <w:sz w:val="24"/>
        </w:rPr>
      </w:pPr>
      <w:r w:rsidRPr="00BF3CC9">
        <w:rPr>
          <w:rFonts w:ascii="Arial" w:eastAsia="Calibri" w:hAnsi="Arial" w:cs="Arial"/>
          <w:i/>
          <w:sz w:val="24"/>
        </w:rPr>
        <w:t>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14:paraId="4A246E5F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</w:p>
    <w:p w14:paraId="72AAFF29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 xml:space="preserve">Картель стал возможным на данных </w:t>
      </w:r>
      <w:proofErr w:type="gramStart"/>
      <w:r w:rsidRPr="00BF3CC9">
        <w:rPr>
          <w:rFonts w:ascii="Arial" w:eastAsia="Calibri" w:hAnsi="Arial" w:cs="Arial"/>
          <w:sz w:val="24"/>
        </w:rPr>
        <w:t>рынках потому что</w:t>
      </w:r>
      <w:proofErr w:type="gramEnd"/>
      <w:r w:rsidRPr="00BF3CC9">
        <w:rPr>
          <w:rFonts w:ascii="Arial" w:eastAsia="Calibri" w:hAnsi="Arial" w:cs="Arial"/>
          <w:sz w:val="24"/>
        </w:rPr>
        <w:t xml:space="preserve">  </w:t>
      </w:r>
    </w:p>
    <w:p w14:paraId="250BC121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1.</w:t>
      </w:r>
      <w:r w:rsidRPr="00BF3CC9">
        <w:rPr>
          <w:rFonts w:ascii="Arial" w:eastAsia="Calibri" w:hAnsi="Arial" w:cs="Arial"/>
          <w:sz w:val="24"/>
        </w:rPr>
        <w:tab/>
        <w:t xml:space="preserve"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</w:t>
      </w:r>
      <w:proofErr w:type="gramStart"/>
      <w:r w:rsidRPr="00BF3CC9">
        <w:rPr>
          <w:rFonts w:ascii="Arial" w:eastAsia="Calibri" w:hAnsi="Arial" w:cs="Arial"/>
          <w:sz w:val="24"/>
        </w:rPr>
        <w:t>прибыльности .</w:t>
      </w:r>
      <w:proofErr w:type="gramEnd"/>
      <w:r w:rsidRPr="00BF3CC9">
        <w:rPr>
          <w:rFonts w:ascii="Arial" w:eastAsia="Calibri" w:hAnsi="Arial" w:cs="Arial"/>
          <w:sz w:val="24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14:paraId="4EFCE4EE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2.</w:t>
      </w:r>
      <w:r w:rsidRPr="00BF3CC9">
        <w:rPr>
          <w:rFonts w:ascii="Arial" w:eastAsia="Calibri" w:hAnsi="Arial" w:cs="Arial"/>
          <w:sz w:val="24"/>
        </w:rPr>
        <w:tab/>
        <w:t xml:space="preserve">Закрепление некоторых сегментов рынка под монопольным контролем. Раздел рынка ведет к тому, что фирма становится чистыи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«Транснефти» - </w:t>
      </w:r>
      <w:r w:rsidRPr="00BF3CC9">
        <w:rPr>
          <w:rFonts w:ascii="Arial" w:eastAsia="Calibri" w:hAnsi="Arial" w:cs="Arial"/>
          <w:sz w:val="24"/>
        </w:rPr>
        <w:lastRenderedPageBreak/>
        <w:t>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14:paraId="56E76569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3.</w:t>
      </w:r>
      <w:r w:rsidRPr="00BF3CC9">
        <w:rPr>
          <w:rFonts w:ascii="Arial" w:eastAsia="Calibri" w:hAnsi="Arial" w:cs="Arial"/>
          <w:sz w:val="24"/>
        </w:rPr>
        <w:tab/>
        <w:t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закурке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14:paraId="062A5D04" w14:textId="77777777" w:rsidR="00877057" w:rsidRPr="00BF3CC9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sz w:val="24"/>
        </w:rPr>
        <w:t>4.</w:t>
      </w:r>
      <w:r w:rsidRPr="00BF3CC9">
        <w:rPr>
          <w:rFonts w:ascii="Arial" w:eastAsia="Calibri" w:hAnsi="Arial" w:cs="Arial"/>
          <w:sz w:val="24"/>
        </w:rPr>
        <w:tab/>
        <w:t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14:paraId="29FB4147" w14:textId="77777777" w:rsidR="002134AF" w:rsidRPr="00BF3CC9" w:rsidRDefault="002134AF">
      <w:pPr>
        <w:rPr>
          <w:rFonts w:ascii="Arial" w:hAnsi="Arial" w:cs="Arial"/>
        </w:rPr>
      </w:pPr>
    </w:p>
    <w:p w14:paraId="44ECF227" w14:textId="1AD9A0D1" w:rsidR="000F76EB" w:rsidRPr="00BF3CC9" w:rsidRDefault="002134AF">
      <w:pPr>
        <w:rPr>
          <w:rFonts w:ascii="Arial" w:hAnsi="Arial" w:cs="Arial"/>
        </w:rPr>
      </w:pPr>
      <w:r w:rsidRPr="00BF3CC9">
        <w:rPr>
          <w:rFonts w:ascii="Arial" w:hAnsi="Arial" w:cs="Arial"/>
        </w:rPr>
        <w:t xml:space="preserve"> Кейс №4</w:t>
      </w:r>
    </w:p>
    <w:p w14:paraId="44661252" w14:textId="6F0AF336" w:rsidR="002134AF" w:rsidRDefault="002134AF">
      <w:r w:rsidRPr="002134AF">
        <w:rPr>
          <w:noProof/>
        </w:rPr>
        <w:lastRenderedPageBreak/>
        <w:drawing>
          <wp:inline distT="0" distB="0" distL="0" distR="0" wp14:anchorId="66E9F487" wp14:editId="23C09C2A">
            <wp:extent cx="5940425" cy="767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EB"/>
    <w:rsid w:val="000F76EB"/>
    <w:rsid w:val="001150EB"/>
    <w:rsid w:val="002134AF"/>
    <w:rsid w:val="00877057"/>
    <w:rsid w:val="00B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4969"/>
  <w15:chartTrackingRefBased/>
  <w15:docId w15:val="{9C73F935-4006-44CC-B45F-14743DA6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1274</Words>
  <Characters>7264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4</cp:revision>
  <dcterms:created xsi:type="dcterms:W3CDTF">2020-03-23T13:24:00Z</dcterms:created>
  <dcterms:modified xsi:type="dcterms:W3CDTF">2020-03-23T13:31:00Z</dcterms:modified>
</cp:coreProperties>
</file>