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C1" w:rsidRDefault="005855D9">
      <w:pPr>
        <w:rPr>
          <w:rFonts w:ascii="Times New Roman" w:hAnsi="Times New Roman" w:cs="Times New Roman"/>
          <w:sz w:val="32"/>
          <w:szCs w:val="32"/>
        </w:rPr>
      </w:pPr>
      <w:r w:rsidRPr="005855D9">
        <w:rPr>
          <w:rFonts w:ascii="Times New Roman" w:hAnsi="Times New Roman" w:cs="Times New Roman"/>
          <w:sz w:val="32"/>
          <w:szCs w:val="32"/>
        </w:rPr>
        <w:t>Домашнее задание 2.Модуль 2.</w:t>
      </w:r>
    </w:p>
    <w:p w:rsidR="005855D9" w:rsidRP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  <w:r w:rsidRPr="005855D9">
        <w:rPr>
          <w:rFonts w:ascii="Times New Roman" w:hAnsi="Times New Roman" w:cs="Times New Roman"/>
          <w:sz w:val="32"/>
          <w:szCs w:val="32"/>
        </w:rPr>
        <w:t>Задача.</w:t>
      </w:r>
    </w:p>
    <w:p w:rsidR="005855D9" w:rsidRP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  <w:r w:rsidRPr="005855D9">
        <w:rPr>
          <w:rFonts w:ascii="Times New Roman" w:hAnsi="Times New Roman" w:cs="Times New Roman"/>
          <w:sz w:val="32"/>
          <w:szCs w:val="32"/>
        </w:rPr>
        <w:t xml:space="preserve">При цене 5 рублей объем спроса на товар составляет 20 единиц, а при цене 40 рублей- 10 единиц. Можно ли </w:t>
      </w:r>
      <w:proofErr w:type="gramStart"/>
      <w:r w:rsidRPr="005855D9">
        <w:rPr>
          <w:rFonts w:ascii="Times New Roman" w:hAnsi="Times New Roman" w:cs="Times New Roman"/>
          <w:sz w:val="32"/>
          <w:szCs w:val="32"/>
        </w:rPr>
        <w:t>сказать</w:t>
      </w:r>
      <w:proofErr w:type="gramEnd"/>
      <w:r w:rsidRPr="005855D9">
        <w:rPr>
          <w:rFonts w:ascii="Times New Roman" w:hAnsi="Times New Roman" w:cs="Times New Roman"/>
          <w:sz w:val="32"/>
          <w:szCs w:val="32"/>
        </w:rPr>
        <w:t xml:space="preserve"> что в данном диапазоне цен спрос на товар является эластичным.</w:t>
      </w:r>
    </w:p>
    <w:p w:rsid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  <w:r w:rsidRPr="005855D9">
        <w:rPr>
          <w:rFonts w:ascii="Times New Roman" w:hAnsi="Times New Roman" w:cs="Times New Roman"/>
          <w:sz w:val="32"/>
          <w:szCs w:val="32"/>
        </w:rPr>
        <w:t xml:space="preserve">Решение: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Epd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= </w:t>
      </w:r>
      <w:r>
        <w:rPr>
          <w:rFonts w:ascii="Times New Roman" w:hAnsi="Times New Roman" w:cs="Times New Roman"/>
          <w:sz w:val="32"/>
          <w:szCs w:val="32"/>
        </w:rPr>
        <w:t>(10/(20-5</w:t>
      </w:r>
      <w:proofErr w:type="gramStart"/>
      <w:r>
        <w:rPr>
          <w:rFonts w:ascii="Times New Roman" w:hAnsi="Times New Roman" w:cs="Times New Roman"/>
          <w:sz w:val="32"/>
          <w:szCs w:val="32"/>
        </w:rPr>
        <w:t>))/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((40-5)/22,5)=0,4 </w:t>
      </w:r>
      <w:proofErr w:type="spellStart"/>
      <w:r>
        <w:rPr>
          <w:rFonts w:ascii="Times New Roman" w:hAnsi="Times New Roman" w:cs="Times New Roman"/>
          <w:sz w:val="32"/>
          <w:szCs w:val="32"/>
        </w:rPr>
        <w:t>т.е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спрос неэластичен</w:t>
      </w:r>
    </w:p>
    <w:p w:rsid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Ответ:0,4</w:t>
      </w:r>
    </w:p>
    <w:p w:rsidR="005855D9" w:rsidRDefault="005855D9" w:rsidP="005855D9">
      <w:pPr>
        <w:rPr>
          <w:rFonts w:ascii="Times New Roman" w:hAnsi="Times New Roman" w:cs="Times New Roman"/>
          <w:b/>
          <w:sz w:val="32"/>
          <w:szCs w:val="32"/>
        </w:rPr>
      </w:pPr>
      <w:r w:rsidRPr="005855D9">
        <w:rPr>
          <w:rFonts w:ascii="Times New Roman" w:hAnsi="Times New Roman" w:cs="Times New Roman"/>
          <w:b/>
          <w:sz w:val="32"/>
          <w:szCs w:val="32"/>
        </w:rPr>
        <w:t>Кейс 3.</w:t>
      </w:r>
    </w:p>
    <w:p w:rsid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  <w:r w:rsidRPr="005855D9">
        <w:rPr>
          <w:rFonts w:ascii="Times New Roman" w:hAnsi="Times New Roman" w:cs="Times New Roman"/>
          <w:sz w:val="32"/>
          <w:szCs w:val="32"/>
        </w:rPr>
        <w:t>ЗАДАНИЕ ПО АНАЛИЗУ АНТИКАРТЕЛЬНЫХ ДЕЛ В ЕВРОПЕЙСКОЙ КОМИССИИ НА ОСНОВЕ ДАННЫХ.</w:t>
      </w:r>
    </w:p>
    <w:p w:rsidR="005855D9" w:rsidRP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</w:p>
    <w:p w:rsidR="005855D9" w:rsidRP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855D9">
        <w:rPr>
          <w:rFonts w:ascii="Times New Roman" w:hAnsi="Times New Roman" w:cs="Times New Roman"/>
          <w:sz w:val="32"/>
          <w:szCs w:val="32"/>
        </w:rPr>
        <w:t>1)</w:t>
      </w:r>
      <w:r w:rsidRPr="005855D9">
        <w:rPr>
          <w:rFonts w:ascii="Times New Roman" w:hAnsi="Times New Roman" w:cs="Times New Roman"/>
          <w:i/>
          <w:sz w:val="32"/>
          <w:szCs w:val="32"/>
          <w:u w:val="single"/>
        </w:rPr>
        <w:t>Тип</w:t>
      </w:r>
      <w:proofErr w:type="gramEnd"/>
      <w:r w:rsidRPr="005855D9">
        <w:rPr>
          <w:rFonts w:ascii="Times New Roman" w:hAnsi="Times New Roman" w:cs="Times New Roman"/>
          <w:i/>
          <w:sz w:val="32"/>
          <w:szCs w:val="32"/>
          <w:u w:val="single"/>
        </w:rPr>
        <w:t xml:space="preserve"> нарушения</w:t>
      </w:r>
      <w:r w:rsidRPr="005855D9">
        <w:rPr>
          <w:rFonts w:ascii="Times New Roman" w:hAnsi="Times New Roman" w:cs="Times New Roman"/>
          <w:sz w:val="32"/>
          <w:szCs w:val="32"/>
        </w:rPr>
        <w:t xml:space="preserve"> – Фиксированные цены.</w:t>
      </w:r>
    </w:p>
    <w:p w:rsidR="005855D9" w:rsidRP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855D9">
        <w:rPr>
          <w:rFonts w:ascii="Times New Roman" w:hAnsi="Times New Roman" w:cs="Times New Roman"/>
          <w:sz w:val="32"/>
          <w:szCs w:val="32"/>
        </w:rPr>
        <w:t>Антитраст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: Штрафы Комиссии по делу производителей профессиональных видеокассет на сумму свыше € 74 миллионов за создание картеля по фиксированию цен Европейская комиссия наложила штрафы, всего на сумму 74 790 000 €, на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Sony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Fuji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Maxell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за фиксирование цен на рынке продаж профессиональных видеокассет покупателям Европы в нарушении Соглашения EC о запрете на картели и другие действия по ограничению рыночных отношений (Статья 81). В период между 1999 и 2002 годами,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Sony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Fuji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Maxell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контролировали цены как в плане роста, так и во всех остальных отношениях посредством ряда регулярных встреч и других незаконных контактов. Штраф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Sony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был увеличен на 30% за препятствия работе Комиссии во время локальных проверок его помещений. Штрафы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Fuji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Maxell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были уменьшены на 40% и 20% соответственно, потому что они сотрудничали с расследованием в соответствии с программой освобождения от ответственности (2002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Leniency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Notice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). Однако в данном случае освобождения от ответственности не было. Для расчета штрафов в данном деле Комиссия впервые применила новое Руководство </w:t>
      </w:r>
      <w:proofErr w:type="gramStart"/>
      <w:r w:rsidRPr="005855D9">
        <w:rPr>
          <w:rFonts w:ascii="Times New Roman" w:hAnsi="Times New Roman" w:cs="Times New Roman"/>
          <w:sz w:val="32"/>
          <w:szCs w:val="32"/>
        </w:rPr>
        <w:t>2006  .</w:t>
      </w:r>
      <w:proofErr w:type="gramEnd"/>
      <w:r w:rsidRPr="005855D9">
        <w:rPr>
          <w:rFonts w:ascii="Times New Roman" w:hAnsi="Times New Roman" w:cs="Times New Roman"/>
          <w:sz w:val="32"/>
          <w:szCs w:val="32"/>
        </w:rPr>
        <w:t xml:space="preserve"> (€)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Sony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(Япония)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None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None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47 190 000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Fuji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(Япония) 40% 8 800 000 13 200 000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Maxell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(Япония) 20% 3 600 000 14 400 000 Итого 74 790 000 (*) Юридические лица в качестве ответчиков могут быть </w:t>
      </w:r>
      <w:r w:rsidRPr="005855D9">
        <w:rPr>
          <w:rFonts w:ascii="Times New Roman" w:hAnsi="Times New Roman" w:cs="Times New Roman"/>
          <w:sz w:val="32"/>
          <w:szCs w:val="32"/>
        </w:rPr>
        <w:lastRenderedPageBreak/>
        <w:t xml:space="preserve">привлечены совместно и по отдельности по наложенным штрафам целиком или частично.  </w:t>
      </w:r>
    </w:p>
    <w:p w:rsidR="005855D9" w:rsidRP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  <w:r w:rsidRPr="005855D9">
        <w:rPr>
          <w:rFonts w:ascii="Times New Roman" w:hAnsi="Times New Roman" w:cs="Times New Roman"/>
          <w:i/>
          <w:sz w:val="32"/>
          <w:szCs w:val="32"/>
          <w:u w:val="single"/>
        </w:rPr>
        <w:t>Тип нарушения</w:t>
      </w:r>
      <w:r w:rsidRPr="005855D9">
        <w:rPr>
          <w:rFonts w:ascii="Times New Roman" w:hAnsi="Times New Roman" w:cs="Times New Roman"/>
          <w:sz w:val="32"/>
          <w:szCs w:val="32"/>
        </w:rPr>
        <w:t xml:space="preserve"> – Разделение рынка.</w:t>
      </w:r>
    </w:p>
    <w:p w:rsidR="005855D9" w:rsidRP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  <w:r w:rsidRPr="005855D9">
        <w:rPr>
          <w:rFonts w:ascii="Times New Roman" w:hAnsi="Times New Roman" w:cs="Times New Roman"/>
          <w:sz w:val="32"/>
          <w:szCs w:val="32"/>
        </w:rPr>
        <w:t xml:space="preserve">Штрафы Комиссии членов пивного картеля в Нидерландах на сумму свыше € 273 миллионов Европейская Комиссия оштрафовала голландских пивоваров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Heineken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Grolsch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Bavaria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на общую сумму € 273 783 000 за создание картеля на рынке пива в Нидерландах в нарушении Соглашения EC о запрете на картели и другие действия по ограничению рыночных отношений (Статья 81). Решение Комиссии включает группу компаний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Heineken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Grolsch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Bavaria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, вместе с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InBev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группой, которая также участвовала в картеле. Потребление пива в Нидерландах приблизительно составляет 80 литров на душу населения. В период как минимум между 1996 и 1999 годами эти четыре пивовара провели многочисленные неофициальные встречи, во время которых они координировали цены и повышение цен на пиво в Нидерландах.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InBev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не был оштрафован, так как предоставил убедительную информацию о картеле в соответствии с программой освобождения от ответственности.</w:t>
      </w:r>
    </w:p>
    <w:p w:rsidR="005855D9" w:rsidRP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  <w:r w:rsidRPr="005855D9">
        <w:rPr>
          <w:rFonts w:ascii="Times New Roman" w:hAnsi="Times New Roman" w:cs="Times New Roman"/>
          <w:sz w:val="32"/>
          <w:szCs w:val="32"/>
        </w:rPr>
        <w:t xml:space="preserve">После Комиссии, по собственной инициативе раскрыв картель на бельгийском рынке пива,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InBev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под эгидой программы освобождения от ответственности предоставил информацию о собственном участии в картелях в других европейских странах. Это привело к обыскам пивоваров во Франции, Люксембурге, Италии и Нидерландах. В результате этих расследований были приняты антикартельные решения по Бельгии, Франции и Люксембургу. Итальянское расследование было закрыто без вынесения обвинений.</w:t>
      </w:r>
    </w:p>
    <w:p w:rsidR="005855D9" w:rsidRP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  <w:r w:rsidRPr="005855D9">
        <w:rPr>
          <w:rFonts w:ascii="Times New Roman" w:hAnsi="Times New Roman" w:cs="Times New Roman"/>
          <w:sz w:val="32"/>
          <w:szCs w:val="32"/>
        </w:rPr>
        <w:t xml:space="preserve">Доказательства. В результате обысков были получены доказательства в виде личных рукописных записей, взятых на неофициальных встречах и содержащие информацию о датах и местах встреч. Полученные доказательства свидетельствовали, что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Heineken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InBev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Grolsch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Bavaria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управляли незаконным картелем в Нидерландах. Это также полностью подтверждается корпоративными заявлениями, сделанными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InBev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>.</w:t>
      </w:r>
    </w:p>
    <w:p w:rsidR="005855D9" w:rsidRP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  <w:r w:rsidRPr="005855D9">
        <w:rPr>
          <w:rFonts w:ascii="Times New Roman" w:hAnsi="Times New Roman" w:cs="Times New Roman"/>
          <w:sz w:val="32"/>
          <w:szCs w:val="32"/>
        </w:rPr>
        <w:lastRenderedPageBreak/>
        <w:t xml:space="preserve">Штрафы. Рассмотренные случаи являются очень серьезным нарушением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антитрастовых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правил Соглашения EC. Штрафы были рассчитаны с учетом размера рынков, продолжительности деятельности картеля и размера вовлеченных фирм.</w:t>
      </w:r>
    </w:p>
    <w:p w:rsidR="005855D9" w:rsidRP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  <w:r w:rsidRPr="005855D9">
        <w:rPr>
          <w:rFonts w:ascii="Times New Roman" w:hAnsi="Times New Roman" w:cs="Times New Roman"/>
          <w:sz w:val="32"/>
          <w:szCs w:val="32"/>
        </w:rPr>
        <w:t>2) 1. В случае с видеокассетами программа не использовалась</w:t>
      </w:r>
    </w:p>
    <w:p w:rsidR="005855D9" w:rsidRP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  <w:r w:rsidRPr="005855D9">
        <w:rPr>
          <w:rFonts w:ascii="Times New Roman" w:hAnsi="Times New Roman" w:cs="Times New Roman"/>
          <w:sz w:val="32"/>
          <w:szCs w:val="32"/>
        </w:rPr>
        <w:t>2. Во втором случае в Нидерландах Комиссия признает, что расследование в данном случае неоправданно затянулось, и, начиная с обысков, продлилось свыше семи лет. По этим причинам размер штрафов был уменьшен на € 100 000.</w:t>
      </w:r>
    </w:p>
    <w:p w:rsidR="005855D9" w:rsidRP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  <w:r w:rsidRPr="005855D9">
        <w:rPr>
          <w:rFonts w:ascii="Times New Roman" w:hAnsi="Times New Roman" w:cs="Times New Roman"/>
          <w:sz w:val="32"/>
          <w:szCs w:val="32"/>
        </w:rPr>
        <w:t xml:space="preserve"> (%) Уменьшение штрафа в соответствии с Уведомлением о снисхождении</w:t>
      </w:r>
    </w:p>
    <w:p w:rsidR="005855D9" w:rsidRP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  <w:r w:rsidRPr="005855D9">
        <w:rPr>
          <w:rFonts w:ascii="Times New Roman" w:hAnsi="Times New Roman" w:cs="Times New Roman"/>
          <w:sz w:val="32"/>
          <w:szCs w:val="32"/>
        </w:rPr>
        <w:t>Любой человек или фирма, которых затронуло анти-конкурентное поведение как описано в этом деле, могут вынести вопрос на рассмотрение судов Государств — членов и истребовать убытки, представляя элементы опубликованного решения как доказательство, что поведение имело место и было незаконно. Несмотря на то, что Комиссия оштрафовала заинтересованные компании, убытки можно востребовать без уменьшения из-за штрафа Комиссии.</w:t>
      </w:r>
    </w:p>
    <w:p w:rsidR="005855D9" w:rsidRP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  <w:r w:rsidRPr="005855D9">
        <w:rPr>
          <w:rFonts w:ascii="Times New Roman" w:hAnsi="Times New Roman" w:cs="Times New Roman"/>
          <w:sz w:val="32"/>
          <w:szCs w:val="32"/>
        </w:rPr>
        <w:t>3)1.</w:t>
      </w:r>
      <w:r w:rsidRPr="005855D9">
        <w:rPr>
          <w:rFonts w:ascii="Times New Roman" w:hAnsi="Times New Roman" w:cs="Times New Roman"/>
          <w:sz w:val="32"/>
          <w:szCs w:val="32"/>
        </w:rPr>
        <w:tab/>
        <w:t xml:space="preserve">Повышение цены реализации продукции. Это наиболее универсальное последствие, сопровождающее создание практически любого картеля. Часто именно оно выводит отрасль из убытков в зону </w:t>
      </w:r>
      <w:proofErr w:type="gramStart"/>
      <w:r w:rsidRPr="005855D9">
        <w:rPr>
          <w:rFonts w:ascii="Times New Roman" w:hAnsi="Times New Roman" w:cs="Times New Roman"/>
          <w:sz w:val="32"/>
          <w:szCs w:val="32"/>
        </w:rPr>
        <w:t>прибыльности .</w:t>
      </w:r>
      <w:proofErr w:type="gramEnd"/>
      <w:r w:rsidRPr="005855D9">
        <w:rPr>
          <w:rFonts w:ascii="Times New Roman" w:hAnsi="Times New Roman" w:cs="Times New Roman"/>
          <w:sz w:val="32"/>
          <w:szCs w:val="32"/>
        </w:rPr>
        <w:t xml:space="preserve"> К тому же картели часто создаются для прекращения разрушительных ценовых войн. Даже если сложившиеся цены грозят разорить всех, поднять 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</w:p>
    <w:p w:rsidR="005855D9" w:rsidRP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5855D9">
        <w:rPr>
          <w:rFonts w:ascii="Times New Roman" w:hAnsi="Times New Roman" w:cs="Times New Roman"/>
          <w:sz w:val="32"/>
          <w:szCs w:val="32"/>
        </w:rPr>
        <w:t xml:space="preserve">Закрепление некоторых сегментов рынка под монопольным контролем. Раздел рынка ведет к тому, что фирма становится 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чистыи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 xml:space="preserve"> монополистом в своем сегменте и может там диктовать </w:t>
      </w:r>
      <w:r w:rsidRPr="005855D9">
        <w:rPr>
          <w:rFonts w:ascii="Times New Roman" w:hAnsi="Times New Roman" w:cs="Times New Roman"/>
          <w:sz w:val="32"/>
          <w:szCs w:val="32"/>
        </w:rPr>
        <w:lastRenderedPageBreak/>
        <w:t>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</w:t>
      </w:r>
      <w:proofErr w:type="spellStart"/>
      <w:r w:rsidRPr="005855D9">
        <w:rPr>
          <w:rFonts w:ascii="Times New Roman" w:hAnsi="Times New Roman" w:cs="Times New Roman"/>
          <w:sz w:val="32"/>
          <w:szCs w:val="32"/>
        </w:rPr>
        <w:t>Транснефти</w:t>
      </w:r>
      <w:proofErr w:type="spellEnd"/>
      <w:r w:rsidRPr="005855D9">
        <w:rPr>
          <w:rFonts w:ascii="Times New Roman" w:hAnsi="Times New Roman" w:cs="Times New Roman"/>
          <w:sz w:val="32"/>
          <w:szCs w:val="32"/>
        </w:rPr>
        <w:t>» - вторая). В перспективном плане может осуществляться раздел направлений научных исследований, что годы спустя становится надежной основой продуктового раздела.</w:t>
      </w:r>
    </w:p>
    <w:p w:rsidR="005855D9" w:rsidRP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  <w:r w:rsidRPr="005855D9">
        <w:rPr>
          <w:rFonts w:ascii="Times New Roman" w:hAnsi="Times New Roman" w:cs="Times New Roman"/>
          <w:sz w:val="32"/>
          <w:szCs w:val="32"/>
        </w:rPr>
        <w:t>3.</w:t>
      </w:r>
      <w:r w:rsidRPr="005855D9">
        <w:rPr>
          <w:rFonts w:ascii="Times New Roman" w:hAnsi="Times New Roman" w:cs="Times New Roman"/>
          <w:sz w:val="32"/>
          <w:szCs w:val="32"/>
        </w:rPr>
        <w:tab/>
        <w:t>Дезинформация потребителей (имитация конкуренции). Члены картеля обычно скрывают от потребителей существование сговора. В итоге, например, на тендер по закурке оборудования может поступить шесть якобы независимых заявок с предложениями от разных фирм – членов картеля. На деле же пять из них будут специально содержать невыгодные предложения, чтобы последняя (чуть лучшая) показалась приемлемой, хотя в действительности тоже является грабительской. Точно 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:rsid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  <w:r w:rsidRPr="005855D9">
        <w:rPr>
          <w:rFonts w:ascii="Times New Roman" w:hAnsi="Times New Roman" w:cs="Times New Roman"/>
          <w:sz w:val="32"/>
          <w:szCs w:val="32"/>
        </w:rPr>
        <w:t>4.</w:t>
      </w:r>
      <w:r w:rsidRPr="005855D9">
        <w:rPr>
          <w:rFonts w:ascii="Times New Roman" w:hAnsi="Times New Roman" w:cs="Times New Roman"/>
          <w:sz w:val="32"/>
          <w:szCs w:val="32"/>
        </w:rPr>
        <w:tab/>
        <w:t>Совместная борьба с аутсайдерами. Члены картеля могут совместно препятствовать проникновению на рынок фирм-новичков. Для этого при появлении опасности один из участников может назначать сверхнизкие («боевые») цены, чтобы вытеснить аутсайдера (так называют не входящую в картель фирму). Другие же члены картеля в дальнейшем тем или иным способом компенсируют расходы боровшейся с аутсайдером фирмы.</w:t>
      </w:r>
    </w:p>
    <w:p w:rsid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</w:p>
    <w:p w:rsidR="005855D9" w:rsidRDefault="005855D9" w:rsidP="005855D9">
      <w:pPr>
        <w:rPr>
          <w:rFonts w:ascii="Times New Roman" w:hAnsi="Times New Roman" w:cs="Times New Roman"/>
          <w:b/>
          <w:sz w:val="32"/>
          <w:szCs w:val="32"/>
        </w:rPr>
      </w:pPr>
    </w:p>
    <w:p w:rsidR="005855D9" w:rsidRDefault="005855D9" w:rsidP="005855D9">
      <w:pPr>
        <w:rPr>
          <w:rFonts w:ascii="Times New Roman" w:hAnsi="Times New Roman" w:cs="Times New Roman"/>
          <w:b/>
          <w:sz w:val="32"/>
          <w:szCs w:val="32"/>
        </w:rPr>
      </w:pPr>
    </w:p>
    <w:p w:rsidR="005855D9" w:rsidRDefault="005855D9" w:rsidP="005855D9">
      <w:pPr>
        <w:rPr>
          <w:rFonts w:ascii="Times New Roman" w:hAnsi="Times New Roman" w:cs="Times New Roman"/>
          <w:b/>
          <w:sz w:val="32"/>
          <w:szCs w:val="32"/>
        </w:rPr>
      </w:pPr>
    </w:p>
    <w:p w:rsidR="005855D9" w:rsidRP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  <w:r w:rsidRPr="005855D9">
        <w:rPr>
          <w:rFonts w:ascii="Times New Roman" w:hAnsi="Times New Roman" w:cs="Times New Roman"/>
          <w:b/>
          <w:sz w:val="32"/>
          <w:szCs w:val="32"/>
        </w:rPr>
        <w:lastRenderedPageBreak/>
        <w:t>Кейс 4</w:t>
      </w:r>
      <w:r w:rsidRPr="005855D9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r w:rsidRPr="005855D9">
        <w:rPr>
          <w:i/>
          <w:u w:val="single"/>
        </w:rPr>
        <w:t xml:space="preserve"> </w:t>
      </w:r>
      <w:r w:rsidRPr="005855D9">
        <w:rPr>
          <w:rFonts w:ascii="Times New Roman" w:hAnsi="Times New Roman" w:cs="Times New Roman"/>
          <w:i/>
          <w:sz w:val="32"/>
          <w:szCs w:val="32"/>
          <w:u w:val="single"/>
        </w:rPr>
        <w:t xml:space="preserve">Задание по анализу антикартельных </w:t>
      </w:r>
      <w:proofErr w:type="gramStart"/>
      <w:r w:rsidRPr="005855D9">
        <w:rPr>
          <w:rFonts w:ascii="Times New Roman" w:hAnsi="Times New Roman" w:cs="Times New Roman"/>
          <w:i/>
          <w:sz w:val="32"/>
          <w:szCs w:val="32"/>
          <w:u w:val="single"/>
        </w:rPr>
        <w:t xml:space="preserve">дел  </w:t>
      </w:r>
      <w:bookmarkStart w:id="0" w:name="_GoBack"/>
      <w:bookmarkEnd w:id="0"/>
      <w:r w:rsidRPr="005855D9">
        <w:rPr>
          <w:rFonts w:ascii="Times New Roman" w:hAnsi="Times New Roman" w:cs="Times New Roman"/>
          <w:i/>
          <w:sz w:val="32"/>
          <w:szCs w:val="32"/>
          <w:u w:val="single"/>
        </w:rPr>
        <w:t>антимонопольным</w:t>
      </w:r>
      <w:proofErr w:type="gramEnd"/>
      <w:r w:rsidRPr="005855D9">
        <w:rPr>
          <w:rFonts w:ascii="Times New Roman" w:hAnsi="Times New Roman" w:cs="Times New Roman"/>
          <w:i/>
          <w:sz w:val="32"/>
          <w:szCs w:val="32"/>
          <w:u w:val="single"/>
        </w:rPr>
        <w:t xml:space="preserve"> органом России (ФАС) на основе данных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5855D9" w:rsidRP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  <w:r w:rsidRPr="005855D9">
        <w:rPr>
          <w:rFonts w:ascii="Times New Roman" w:hAnsi="Times New Roman" w:cs="Times New Roman"/>
          <w:sz w:val="32"/>
          <w:szCs w:val="32"/>
        </w:rPr>
        <w:t>Проведите анализ антикартельных дел в России, отвечая на следующие вопросы:</w:t>
      </w:r>
    </w:p>
    <w:p w:rsidR="005855D9" w:rsidRPr="005855D9" w:rsidRDefault="005855D9" w:rsidP="005855D9">
      <w:pPr>
        <w:rPr>
          <w:rFonts w:ascii="Times New Roman" w:hAnsi="Times New Roman" w:cs="Times New Roman"/>
          <w:sz w:val="32"/>
          <w:szCs w:val="32"/>
        </w:rPr>
      </w:pPr>
      <w:r w:rsidRPr="005855D9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5855D9">
        <w:rPr>
          <w:rFonts w:ascii="Times New Roman" w:hAnsi="Times New Roman" w:cs="Times New Roman"/>
          <w:sz w:val="32"/>
          <w:szCs w:val="32"/>
        </w:rPr>
        <w:t>1)Среди</w:t>
      </w:r>
      <w:proofErr w:type="gramEnd"/>
      <w:r w:rsidRPr="005855D9">
        <w:rPr>
          <w:rFonts w:ascii="Times New Roman" w:hAnsi="Times New Roman" w:cs="Times New Roman"/>
          <w:sz w:val="32"/>
          <w:szCs w:val="32"/>
        </w:rPr>
        <w:t xml:space="preserve"> соглашений, фактически раскрытых ФАС за период с 2004 года и до конца 2007 года, отберите соглашения, которые признавались бы нелегальными (СТАТЬЯ 11 ФЕДЕРАЛЬНОГО ЗАКОНА ОТ 26.07.2006 № 135-ФЗ «О ЗАЩИТЕ КОНКУРЕНЦИИ» (запрет на ограничивающие конкуренцию соглашения, согласованные действия хозяйствующих субъектов);  Всю информацию по соглашениям оформите в виде таблицы.</w:t>
      </w:r>
    </w:p>
    <w:p w:rsidR="005855D9" w:rsidRPr="005855D9" w:rsidRDefault="005855D9" w:rsidP="005855D9">
      <w:pPr>
        <w:rPr>
          <w:rFonts w:ascii="Times New Roman" w:hAnsi="Times New Roman" w:cs="Times New Roman"/>
          <w:b/>
          <w:sz w:val="32"/>
          <w:szCs w:val="32"/>
        </w:rPr>
      </w:pPr>
      <w:r w:rsidRPr="005855D9">
        <w:rPr>
          <w:rFonts w:ascii="Times New Roman" w:hAnsi="Times New Roman" w:cs="Times New Roman"/>
          <w:b/>
          <w:sz w:val="32"/>
          <w:szCs w:val="32"/>
        </w:rPr>
        <w:lastRenderedPageBreak/>
        <w:drawing>
          <wp:inline distT="0" distB="0" distL="0" distR="0">
            <wp:extent cx="5934075" cy="7105650"/>
            <wp:effectExtent l="0" t="0" r="9525" b="0"/>
            <wp:docPr id="4" name="Рисунок 4" descr="https://sun9-30.userapi.com/NQabdCq0a4rQxsU3ysFm1GMkIbacSzfN8VXn2g/tQimKpcDF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0.userapi.com/NQabdCq0a4rQxsU3ysFm1GMkIbacSzfN8VXn2g/tQimKpcDFS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55D9" w:rsidRPr="0058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D9"/>
    <w:rsid w:val="002D2AA0"/>
    <w:rsid w:val="005855D9"/>
    <w:rsid w:val="006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4BFB9-9D68-45F5-AAAA-99241CDC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1139</Words>
  <Characters>6498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2020-03-23T14:00:00Z</dcterms:created>
  <dcterms:modified xsi:type="dcterms:W3CDTF">2020-03-23T14:09:00Z</dcterms:modified>
</cp:coreProperties>
</file>