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05" w:rsidRDefault="00F70905" w:rsidP="008322DD">
      <w:pPr>
        <w:rPr>
          <w:b/>
          <w:i/>
        </w:rPr>
      </w:pPr>
      <w:r>
        <w:rPr>
          <w:b/>
          <w:i/>
        </w:rPr>
        <w:t>Домашнее задание №2</w:t>
      </w:r>
    </w:p>
    <w:p w:rsidR="00F70905" w:rsidRPr="00F70905" w:rsidRDefault="00F70905" w:rsidP="00F70905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70905">
        <w:rPr>
          <w:rFonts w:ascii="Times New Roman" w:hAnsi="Times New Roman" w:cs="Times New Roman"/>
          <w:i/>
          <w:sz w:val="28"/>
          <w:szCs w:val="28"/>
          <w:lang w:val="tt-RU"/>
        </w:rPr>
        <w:t>Задача.</w:t>
      </w:r>
    </w:p>
    <w:p w:rsidR="00F70905" w:rsidRDefault="00F70905" w:rsidP="00F70905">
      <w:pPr>
        <w:rPr>
          <w:rFonts w:asciiTheme="majorHAnsi" w:hAnsiTheme="majorHAnsi" w:cs="Times New Roman"/>
          <w:i/>
          <w:sz w:val="28"/>
          <w:szCs w:val="28"/>
          <w:shd w:val="clear" w:color="auto" w:fill="FFFFFF"/>
        </w:rPr>
      </w:pPr>
      <w:r w:rsidRPr="00F70905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 w:rsidRPr="00F70905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>сказать</w:t>
      </w:r>
      <w:proofErr w:type="gramEnd"/>
      <w:r w:rsidRPr="00F70905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 xml:space="preserve"> что в данном диапазоне цен спрос на товар является эластичным.</w:t>
      </w:r>
    </w:p>
    <w:p w:rsidR="00F70905" w:rsidRPr="00F70905" w:rsidRDefault="00F70905" w:rsidP="00F70905">
      <w:pPr>
        <w:rPr>
          <w:rFonts w:asciiTheme="majorHAnsi" w:hAnsiTheme="majorHAnsi" w:cs="Times New Roman"/>
          <w:i/>
          <w:sz w:val="28"/>
          <w:szCs w:val="28"/>
          <w:lang w:val="en-US"/>
        </w:rPr>
      </w:pPr>
      <w:proofErr w:type="spellStart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E</w:t>
      </w:r>
      <w:r w:rsidRPr="00F70905">
        <w:rPr>
          <w:rFonts w:asciiTheme="majorHAnsi" w:hAnsiTheme="majorHAnsi" w:cs="Times New Roman"/>
          <w:i/>
          <w:sz w:val="28"/>
          <w:szCs w:val="28"/>
          <w:vertAlign w:val="subscript"/>
          <w:lang w:val="en-US"/>
        </w:rPr>
        <w:t>pd</w:t>
      </w:r>
      <w:proofErr w:type="spellEnd"/>
      <w:proofErr w:type="gramStart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=(</w:t>
      </w:r>
      <w:proofErr w:type="gramEnd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10/15)/(35/22,5)=0,43</w:t>
      </w:r>
    </w:p>
    <w:p w:rsidR="00F70905" w:rsidRPr="00F70905" w:rsidRDefault="00F70905" w:rsidP="00F70905">
      <w:pPr>
        <w:rPr>
          <w:rFonts w:asciiTheme="majorHAnsi" w:hAnsiTheme="majorHAnsi" w:cs="Times New Roman"/>
          <w:i/>
          <w:sz w:val="28"/>
          <w:szCs w:val="28"/>
          <w:lang w:val="en-US"/>
        </w:rPr>
      </w:pPr>
      <w:proofErr w:type="spellStart"/>
      <w:proofErr w:type="gramStart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dP</w:t>
      </w:r>
      <w:proofErr w:type="spellEnd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=</w:t>
      </w:r>
      <w:proofErr w:type="gramEnd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40-5=35</w:t>
      </w:r>
    </w:p>
    <w:p w:rsidR="00F70905" w:rsidRPr="00F70905" w:rsidRDefault="00F70905" w:rsidP="00F70905">
      <w:pPr>
        <w:rPr>
          <w:rFonts w:asciiTheme="majorHAnsi" w:hAnsiTheme="majorHAnsi" w:cs="Times New Roman"/>
          <w:i/>
          <w:sz w:val="28"/>
          <w:szCs w:val="28"/>
          <w:lang w:val="en-US"/>
        </w:rPr>
      </w:pPr>
      <w:proofErr w:type="spellStart"/>
      <w:proofErr w:type="gramStart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dQ</w:t>
      </w:r>
      <w:r w:rsidRPr="00F70905">
        <w:rPr>
          <w:rFonts w:asciiTheme="majorHAnsi" w:hAnsiTheme="majorHAnsi" w:cs="Times New Roman"/>
          <w:i/>
          <w:sz w:val="28"/>
          <w:szCs w:val="28"/>
          <w:vertAlign w:val="subscript"/>
          <w:lang w:val="en-US"/>
        </w:rPr>
        <w:t>d</w:t>
      </w:r>
      <w:proofErr w:type="spellEnd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=</w:t>
      </w:r>
      <w:proofErr w:type="gramEnd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20-10=10</w:t>
      </w:r>
    </w:p>
    <w:p w:rsidR="00F70905" w:rsidRPr="00F70905" w:rsidRDefault="00F70905" w:rsidP="00F70905">
      <w:pPr>
        <w:rPr>
          <w:rFonts w:asciiTheme="majorHAnsi" w:hAnsiTheme="majorHAnsi" w:cs="Times New Roman"/>
          <w:i/>
          <w:sz w:val="28"/>
          <w:szCs w:val="28"/>
          <w:lang w:val="en-US"/>
        </w:rPr>
      </w:pPr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P</w:t>
      </w:r>
      <w:proofErr w:type="gramStart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=(</w:t>
      </w:r>
      <w:proofErr w:type="gramEnd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40+5)/2=22,5</w:t>
      </w:r>
    </w:p>
    <w:p w:rsidR="00F70905" w:rsidRPr="00F70905" w:rsidRDefault="00F70905" w:rsidP="00F70905">
      <w:pPr>
        <w:rPr>
          <w:rFonts w:asciiTheme="majorHAnsi" w:hAnsiTheme="majorHAnsi" w:cs="Times New Roman"/>
          <w:i/>
          <w:sz w:val="28"/>
          <w:szCs w:val="28"/>
          <w:lang w:val="en-US"/>
        </w:rPr>
      </w:pPr>
      <w:proofErr w:type="spellStart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Q</w:t>
      </w:r>
      <w:r w:rsidRPr="00F70905">
        <w:rPr>
          <w:rFonts w:asciiTheme="majorHAnsi" w:hAnsiTheme="majorHAnsi" w:cs="Times New Roman"/>
          <w:i/>
          <w:sz w:val="28"/>
          <w:szCs w:val="28"/>
          <w:vertAlign w:val="subscript"/>
          <w:lang w:val="en-US"/>
        </w:rPr>
        <w:t>d</w:t>
      </w:r>
      <w:proofErr w:type="spellEnd"/>
      <w:proofErr w:type="gramStart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=(</w:t>
      </w:r>
      <w:proofErr w:type="gramEnd"/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>20+10)/2=15</w:t>
      </w:r>
    </w:p>
    <w:p w:rsidR="00F70905" w:rsidRPr="00F70905" w:rsidRDefault="00F70905" w:rsidP="00F70905">
      <w:pPr>
        <w:rPr>
          <w:rFonts w:asciiTheme="majorHAnsi" w:hAnsiTheme="majorHAnsi" w:cs="Times New Roman"/>
          <w:i/>
          <w:sz w:val="28"/>
          <w:szCs w:val="28"/>
        </w:rPr>
      </w:pPr>
      <w:r w:rsidRPr="00F70905">
        <w:rPr>
          <w:rFonts w:asciiTheme="majorHAnsi" w:hAnsiTheme="majorHAnsi" w:cs="Times New Roman"/>
          <w:i/>
          <w:sz w:val="28"/>
          <w:szCs w:val="28"/>
        </w:rPr>
        <w:t>0</w:t>
      </w:r>
      <w:r w:rsidRPr="00F70905">
        <w:rPr>
          <w:rFonts w:asciiTheme="majorHAnsi" w:hAnsiTheme="majorHAnsi" w:cs="Times New Roman"/>
          <w:i/>
          <w:sz w:val="28"/>
          <w:szCs w:val="28"/>
          <w:lang w:val="en-US"/>
        </w:rPr>
        <w:t xml:space="preserve">&lt;0,43&lt;1 </w:t>
      </w:r>
      <w:r w:rsidRPr="00F70905">
        <w:rPr>
          <w:rFonts w:asciiTheme="majorHAnsi" w:hAnsiTheme="majorHAnsi" w:cs="Times New Roman"/>
          <w:i/>
          <w:sz w:val="28"/>
          <w:szCs w:val="28"/>
        </w:rPr>
        <w:t xml:space="preserve">Спрос неэластичен </w:t>
      </w:r>
    </w:p>
    <w:p w:rsidR="008322DD" w:rsidRDefault="008322DD" w:rsidP="008322DD">
      <w:pPr>
        <w:rPr>
          <w:b/>
          <w:i/>
        </w:rPr>
      </w:pPr>
      <w:bookmarkStart w:id="0" w:name="_GoBack"/>
      <w:bookmarkEnd w:id="0"/>
      <w:r w:rsidRPr="008322DD">
        <w:rPr>
          <w:b/>
          <w:i/>
        </w:rPr>
        <w:t>Кейс №3</w:t>
      </w:r>
    </w:p>
    <w:p w:rsidR="008322DD" w:rsidRPr="00F70905" w:rsidRDefault="008322DD" w:rsidP="008322DD">
      <w:pPr>
        <w:rPr>
          <w:rFonts w:asciiTheme="majorHAnsi" w:hAnsiTheme="majorHAnsi"/>
          <w:b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ЗАДАНИЕ ПО АНАЛИЗУ АНТИКАРТЕЛЬНЫХ ДЕЛ В ЕВРОПЕЙСКОЙ КОМИССИИ НА ОСНОВЕ ДАННЫХ. </w:t>
      </w:r>
    </w:p>
    <w:p w:rsidR="008322DD" w:rsidRPr="00F70905" w:rsidRDefault="008322DD" w:rsidP="008322DD">
      <w:pPr>
        <w:numPr>
          <w:ilvl w:val="0"/>
          <w:numId w:val="1"/>
        </w:numPr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>Выберите случаи, по которым вынесено окончательное решение о наложении санкций (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fines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>Решение Комиссии по делу производителей профессиональных видеокассет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  <w:u w:val="single"/>
        </w:rPr>
        <w:t>Тип нарушения</w:t>
      </w:r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– фиксированные цены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Антитраст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: </w:t>
      </w:r>
      <w:proofErr w:type="gramStart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Штрафы Комиссии по делу производителей профессиональных видеокассет на сумму свыше € 74 миллионов за создание картеля по фиксированию цен Европейская комиссия наложила штрафы, всего на сумму 74 790 000 €, на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Sony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,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Fuji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и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Maxell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ограничению рыночных отношений (Статья 81</w:t>
      </w:r>
      <w:proofErr w:type="gram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). В период между 1999 и 2002 годами,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Sony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,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Fuji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и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Maxell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контролировали </w:t>
      </w:r>
      <w:proofErr w:type="gramStart"/>
      <w:r w:rsidRPr="00F70905">
        <w:rPr>
          <w:rFonts w:asciiTheme="majorHAnsi" w:eastAsia="Calibri" w:hAnsiTheme="majorHAnsi" w:cs="Arial"/>
          <w:i/>
          <w:sz w:val="28"/>
          <w:szCs w:val="28"/>
        </w:rPr>
        <w:t>цены</w:t>
      </w:r>
      <w:proofErr w:type="gram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Sony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Fuji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и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Maxell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Leniency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Notice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). Однако в данном </w:t>
      </w:r>
      <w:r w:rsidRPr="00F70905">
        <w:rPr>
          <w:rFonts w:asciiTheme="majorHAnsi" w:eastAsia="Calibri" w:hAnsiTheme="majorHAnsi" w:cs="Arial"/>
          <w:i/>
          <w:sz w:val="28"/>
          <w:szCs w:val="28"/>
        </w:rPr>
        <w:lastRenderedPageBreak/>
        <w:t xml:space="preserve">случае освобождения от ответственности не было. Для расчета штрафов в данном деле Комиссия впервые применила новое Руководство 2006  . (€)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Sony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(Япония)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None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None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47 190 000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Fuji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(Япония) 40% 8 800 000 13 200 000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Maxell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(Япония) 20% 3 600 000 14 400 000</w:t>
      </w:r>
      <w:proofErr w:type="gramStart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И</w:t>
      </w:r>
      <w:proofErr w:type="gram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того 74 790 000 (*) Юридические лица в качестве ответчиков могут быть привлечены совместно и по отдельности по наложенным штрафам целиком или частично. 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  <w:u w:val="single"/>
        </w:rPr>
        <w:t>Тип нарушения</w:t>
      </w:r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– Разделение рынка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proofErr w:type="gramStart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Штрафы Комиссии членов пивного картеля в Нидерландах на сумму свыше € 273 миллионов Европейская Комиссия оштрафовала голландских пивоваров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Heineken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,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Grolsch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и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Bavaria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на общую сумму € 273 783 000 за создание картеля на рынке пива в Нидерландах в нарушении Соглашения EC о запрете на картели и другие действия по ограничению рыночных отношений (Статья 81).</w:t>
      </w:r>
      <w:proofErr w:type="gram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Решение Комиссии включает группу компаний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Heineken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,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Grolsch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и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Bavaria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, вместе с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InBev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группой, которая также участвовала в картеле. Потребление пива в Нидерландах приблизительно составляет 80 литров на душу населения. В период как минимум между 1996 и 1999 годами эти четыре пивовара провели многочисленные неофициальные встречи, во время которых они координировали цены и повышение цен на пиво в Нидерландах.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InBev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не был оштрафован, так как предоставил убедительную информацию о картеле в соответствии с программой освобождения от ответственности.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После Комиссии, по собственной инициативе раскрыв картель на бельгийском рынке пива,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InBev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под эгидой программы освобождения от ответственности предоставил информацию о собственном участии в картелях в других европейских странах. Это привело к обыскам пивоваров во Франции, Люксембурге, Италии и Нидерландах. В результате этих расследований были приняты антикартельные решения по Бельгии, Франции и Люксембургу. Итальянское расследование было закрыто без вынесения обвинений.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Доказательства. В результате обысков были получены доказательства в виде личных рукописных записей, взятых на неофициальных встречах и содержащие информацию о датах и местах встреч. Полученные доказательства свидетельствовали, что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Heineken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,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InBev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,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Grolsch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и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Bavaria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управляли незаконным картелем в Нидерландах. Это также полностью подтверждается корпоративными заявлениями, сделанными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InBev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>.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lastRenderedPageBreak/>
        <w:t xml:space="preserve">Штрафы. Рассмотренные случаи являются очень серьезным нарушением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антитрастовых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правил Соглашения EC. Штрафы были рассчитаны с учетом размера рынков, продолжительности деятельности картеля и размера вовлеченных фирм.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>Комиссия признает, что расследование в данном случае неоправданно затянулось, и, начиная с обысков, продлилось свыше семи лет. По этим причинам размер штрафов был уменьшен на € 100 000.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</w:p>
    <w:p w:rsidR="008322DD" w:rsidRPr="00F70905" w:rsidRDefault="008322DD" w:rsidP="008322DD">
      <w:pPr>
        <w:numPr>
          <w:ilvl w:val="0"/>
          <w:numId w:val="1"/>
        </w:numPr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>Использовалась ли в ходе дела программа освобождения от ответственности (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Leniency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Program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)? Оцените последствия применения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Leniency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Program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на картель.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>1. В случае с видеокассетами программа не использовалась.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>2. Во втором случае в Нидерландах Комиссия признает, что расследование в данном случае неоправданно затянулось, и, начиная с обысков, продлилось свыше семи лет. По этим причинам размер штрафов был уменьшен на € 100 000.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>Наложенные штрафы и сокращения, предоставленные Комиссией: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>Наименование и месторасположение компании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>Уменьшение штрафа в соответствии с Уведомлением о снисхождении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>(%) Уменьшение штрафа в соответствии с Уведомлением о снисхождении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>(€) Особые вычеты (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euros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>) Штраф (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euros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)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Heineken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NV (NL) &amp;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Heineken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Nederland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BV (NL)(*) 0 0 100 000 219 275 000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InBev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NV (B) &amp;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InBev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Nederland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NV (NL)(*) 100 84 375 000 0 0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Grolsch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NV (NL) 0 0 100 000 31 658 000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Bavaria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NV (NL) 0 0 100 000 22 850 000</w:t>
      </w:r>
      <w:proofErr w:type="gramStart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И</w:t>
      </w:r>
      <w:proofErr w:type="gramEnd"/>
      <w:r w:rsidRPr="00F70905">
        <w:rPr>
          <w:rFonts w:asciiTheme="majorHAnsi" w:eastAsia="Calibri" w:hAnsiTheme="majorHAnsi" w:cs="Arial"/>
          <w:i/>
          <w:sz w:val="28"/>
          <w:szCs w:val="28"/>
        </w:rPr>
        <w:t>того 273 783 000 (*) Совместная и индивидуальная ответственность Действия в случае убытков</w:t>
      </w:r>
      <w:proofErr w:type="gramStart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Л</w:t>
      </w:r>
      <w:proofErr w:type="gramEnd"/>
      <w:r w:rsidRPr="00F70905">
        <w:rPr>
          <w:rFonts w:asciiTheme="majorHAnsi" w:eastAsia="Calibri" w:hAnsiTheme="majorHAnsi" w:cs="Arial"/>
          <w:i/>
          <w:sz w:val="28"/>
          <w:szCs w:val="28"/>
        </w:rPr>
        <w:t>юбой человек или фирма, которых затронуло анти-конкурентное поведение как описано в этом деле, могут вынести вопрос на рассмотрение судов Государств — членов и истребовать убытки, представляя элементы опубликованного решения как доказательство, что поведение имело место и было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</w:p>
    <w:p w:rsidR="008322DD" w:rsidRPr="00F70905" w:rsidRDefault="008322DD" w:rsidP="008322DD">
      <w:pPr>
        <w:numPr>
          <w:ilvl w:val="0"/>
          <w:numId w:val="1"/>
        </w:numPr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>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lastRenderedPageBreak/>
        <w:t xml:space="preserve">Картель стал возможным на данных рынках потому что  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>1.</w:t>
      </w:r>
      <w:r w:rsidRPr="00F70905">
        <w:rPr>
          <w:rFonts w:asciiTheme="majorHAnsi" w:eastAsia="Calibri" w:hAnsiTheme="majorHAnsi" w:cs="Arial"/>
          <w:i/>
          <w:sz w:val="28"/>
          <w:szCs w:val="28"/>
        </w:rPr>
        <w:tab/>
        <w:t>Повышение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прибыльности</w:t>
      </w:r>
      <w:proofErr w:type="gramStart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.</w:t>
      </w:r>
      <w:proofErr w:type="gram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>2.</w:t>
      </w:r>
      <w:r w:rsidRPr="00F70905">
        <w:rPr>
          <w:rFonts w:asciiTheme="majorHAnsi" w:eastAsia="Calibri" w:hAnsiTheme="majorHAnsi" w:cs="Arial"/>
          <w:i/>
          <w:sz w:val="28"/>
          <w:szCs w:val="28"/>
        </w:rPr>
        <w:tab/>
        <w:t xml:space="preserve">Закрепление некоторых сегментов рынка под монопольным контролем. Раздел рынка ведет к тому, что фирма становится 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чистыи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Pr="00F70905">
        <w:rPr>
          <w:rFonts w:asciiTheme="majorHAnsi" w:eastAsia="Calibri" w:hAnsiTheme="majorHAnsi" w:cs="Arial"/>
          <w:i/>
          <w:sz w:val="28"/>
          <w:szCs w:val="28"/>
        </w:rPr>
        <w:t>Транснефти</w:t>
      </w:r>
      <w:proofErr w:type="spellEnd"/>
      <w:r w:rsidRPr="00F70905">
        <w:rPr>
          <w:rFonts w:asciiTheme="majorHAnsi" w:eastAsia="Calibri" w:hAnsiTheme="majorHAnsi" w:cs="Arial"/>
          <w:i/>
          <w:sz w:val="28"/>
          <w:szCs w:val="28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>3.</w:t>
      </w:r>
      <w:r w:rsidRPr="00F70905">
        <w:rPr>
          <w:rFonts w:asciiTheme="majorHAnsi" w:eastAsia="Calibri" w:hAnsiTheme="majorHAnsi" w:cs="Arial"/>
          <w:i/>
          <w:sz w:val="28"/>
          <w:szCs w:val="28"/>
        </w:rPr>
        <w:tab/>
        <w:t xml:space="preserve">Дезинформация потребителей (имитация конкуренции). Члены картеля обычно скрывают от потребителей существование сговора. В итоге, например, на тендер по </w:t>
      </w:r>
      <w:proofErr w:type="gramStart"/>
      <w:r w:rsidRPr="00F70905">
        <w:rPr>
          <w:rFonts w:asciiTheme="majorHAnsi" w:eastAsia="Calibri" w:hAnsiTheme="majorHAnsi" w:cs="Arial"/>
          <w:i/>
          <w:sz w:val="28"/>
          <w:szCs w:val="28"/>
        </w:rPr>
        <w:t>закурке</w:t>
      </w:r>
      <w:proofErr w:type="gramEnd"/>
      <w:r w:rsidRPr="00F70905">
        <w:rPr>
          <w:rFonts w:asciiTheme="majorHAnsi" w:eastAsia="Calibri" w:hAnsiTheme="majorHAnsi" w:cs="Arial"/>
          <w:i/>
          <w:sz w:val="28"/>
          <w:szCs w:val="28"/>
        </w:rPr>
        <w:t xml:space="preserve">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8322DD" w:rsidRPr="00F70905" w:rsidRDefault="008322DD" w:rsidP="008322DD">
      <w:pPr>
        <w:ind w:left="720"/>
        <w:contextualSpacing/>
        <w:rPr>
          <w:rFonts w:asciiTheme="majorHAnsi" w:eastAsia="Calibri" w:hAnsiTheme="majorHAnsi" w:cs="Arial"/>
          <w:i/>
          <w:sz w:val="28"/>
          <w:szCs w:val="28"/>
        </w:rPr>
      </w:pPr>
      <w:r w:rsidRPr="00F70905">
        <w:rPr>
          <w:rFonts w:asciiTheme="majorHAnsi" w:eastAsia="Calibri" w:hAnsiTheme="majorHAnsi" w:cs="Arial"/>
          <w:i/>
          <w:sz w:val="28"/>
          <w:szCs w:val="28"/>
        </w:rPr>
        <w:t>4.</w:t>
      </w:r>
      <w:r w:rsidRPr="00F70905">
        <w:rPr>
          <w:rFonts w:asciiTheme="majorHAnsi" w:eastAsia="Calibri" w:hAnsiTheme="majorHAnsi" w:cs="Arial"/>
          <w:i/>
          <w:sz w:val="28"/>
          <w:szCs w:val="28"/>
        </w:rPr>
        <w:tab/>
        <w:t xml:space="preserve">Совместная борьба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тем </w:t>
      </w:r>
      <w:r w:rsidRPr="00F70905">
        <w:rPr>
          <w:rFonts w:asciiTheme="majorHAnsi" w:eastAsia="Calibri" w:hAnsiTheme="majorHAnsi" w:cs="Arial"/>
          <w:i/>
          <w:sz w:val="28"/>
          <w:szCs w:val="28"/>
        </w:rPr>
        <w:lastRenderedPageBreak/>
        <w:t>или иным способом компенсируют расходы боровшейся с аутсайдером фирмы.</w:t>
      </w: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  <w:r w:rsidRPr="00F70905">
        <w:rPr>
          <w:rFonts w:asciiTheme="majorHAnsi" w:hAnsiTheme="majorHAnsi"/>
          <w:b/>
          <w:i/>
          <w:sz w:val="28"/>
          <w:szCs w:val="28"/>
        </w:rPr>
        <w:t>Кейс №4</w:t>
      </w: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  <w:r w:rsidRPr="00F70905">
        <w:rPr>
          <w:rFonts w:asciiTheme="majorHAnsi" w:hAnsiTheme="majorHAnsi"/>
          <w:b/>
          <w:i/>
          <w:sz w:val="28"/>
          <w:szCs w:val="28"/>
        </w:rPr>
        <w:t>№1</w:t>
      </w:r>
    </w:p>
    <w:tbl>
      <w:tblPr>
        <w:tblStyle w:val="a3"/>
        <w:tblpPr w:leftFromText="180" w:rightFromText="180" w:horzAnchor="margin" w:tblpY="705"/>
        <w:tblW w:w="9614" w:type="dxa"/>
        <w:tblLook w:val="04A0" w:firstRow="1" w:lastRow="0" w:firstColumn="1" w:lastColumn="0" w:noHBand="0" w:noVBand="1"/>
      </w:tblPr>
      <w:tblGrid>
        <w:gridCol w:w="4806"/>
        <w:gridCol w:w="4808"/>
      </w:tblGrid>
      <w:tr w:rsidR="008322DD" w:rsidRPr="00F70905" w:rsidTr="00A50B77">
        <w:trPr>
          <w:trHeight w:val="860"/>
        </w:trPr>
        <w:tc>
          <w:tcPr>
            <w:tcW w:w="4806" w:type="dxa"/>
          </w:tcPr>
          <w:p w:rsidR="008322DD" w:rsidRPr="00F70905" w:rsidRDefault="008322DD" w:rsidP="00A50B77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F70905">
              <w:rPr>
                <w:rFonts w:asciiTheme="majorHAnsi" w:hAnsiTheme="majorHAnsi" w:cs="Times New Roman"/>
                <w:i/>
                <w:sz w:val="28"/>
                <w:szCs w:val="28"/>
                <w:shd w:val="clear" w:color="auto" w:fill="FFFFFF"/>
              </w:rPr>
              <w:t>Статья Закона о защите конкуренции</w:t>
            </w:r>
          </w:p>
        </w:tc>
        <w:tc>
          <w:tcPr>
            <w:tcW w:w="4808" w:type="dxa"/>
          </w:tcPr>
          <w:p w:rsidR="008322DD" w:rsidRPr="00F70905" w:rsidRDefault="008322DD" w:rsidP="00A50B77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F70905">
              <w:rPr>
                <w:rFonts w:asciiTheme="majorHAnsi" w:hAnsiTheme="majorHAnsi" w:cs="Times New Roman"/>
                <w:i/>
                <w:sz w:val="28"/>
                <w:szCs w:val="28"/>
                <w:shd w:val="clear" w:color="auto" w:fill="FFFFFF"/>
              </w:rPr>
              <w:t>пункт 1 части 1 статьи 11 (Установление или поддержание цен (тарифов))</w:t>
            </w:r>
          </w:p>
        </w:tc>
      </w:tr>
      <w:tr w:rsidR="008322DD" w:rsidRPr="00F70905" w:rsidTr="00A50B77">
        <w:trPr>
          <w:trHeight w:val="2878"/>
        </w:trPr>
        <w:tc>
          <w:tcPr>
            <w:tcW w:w="4806" w:type="dxa"/>
          </w:tcPr>
          <w:p w:rsidR="008322DD" w:rsidRPr="00F70905" w:rsidRDefault="008322DD" w:rsidP="00A50B77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F70905">
              <w:rPr>
                <w:rFonts w:asciiTheme="majorHAnsi" w:hAnsiTheme="majorHAnsi" w:cs="Times New Roman"/>
                <w:i/>
                <w:sz w:val="28"/>
                <w:szCs w:val="28"/>
                <w:shd w:val="clear" w:color="auto" w:fill="FFFFFF"/>
              </w:rPr>
              <w:t>Основание для возбуждения дела</w:t>
            </w:r>
          </w:p>
        </w:tc>
        <w:tc>
          <w:tcPr>
            <w:tcW w:w="4808" w:type="dxa"/>
          </w:tcPr>
          <w:p w:rsidR="008322DD" w:rsidRPr="00F70905" w:rsidRDefault="008322DD" w:rsidP="00A50B77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F70905">
              <w:rPr>
                <w:rFonts w:asciiTheme="majorHAnsi" w:hAnsiTheme="majorHAnsi" w:cs="Times New Roman"/>
                <w:i/>
                <w:sz w:val="28"/>
                <w:szCs w:val="28"/>
                <w:shd w:val="clear" w:color="auto" w:fill="FFFFFF"/>
              </w:rPr>
              <w:t>по признакам нарушения ООО «Полигон» (ИНН 1650340486) и АО «</w:t>
            </w:r>
            <w:proofErr w:type="spellStart"/>
            <w:r w:rsidRPr="00F70905">
              <w:rPr>
                <w:rFonts w:asciiTheme="majorHAnsi" w:hAnsiTheme="majorHAnsi" w:cs="Times New Roman"/>
                <w:i/>
                <w:sz w:val="28"/>
                <w:szCs w:val="28"/>
                <w:shd w:val="clear" w:color="auto" w:fill="FFFFFF"/>
              </w:rPr>
              <w:t>Экопром</w:t>
            </w:r>
            <w:proofErr w:type="spellEnd"/>
            <w:r w:rsidRPr="00F70905">
              <w:rPr>
                <w:rFonts w:asciiTheme="majorHAnsi" w:hAnsiTheme="majorHAnsi" w:cs="Times New Roman"/>
                <w:i/>
                <w:sz w:val="28"/>
                <w:szCs w:val="28"/>
                <w:shd w:val="clear" w:color="auto" w:fill="FFFFFF"/>
              </w:rPr>
              <w:t>» (ИНН 1650246420) пункта 1 части 1 статьи 11 Федерального закона от 26.07.2006 №135-ФЗ «О защите конкуренции», что выразилось в заключени</w:t>
            </w:r>
            <w:proofErr w:type="gramStart"/>
            <w:r w:rsidRPr="00F70905">
              <w:rPr>
                <w:rFonts w:asciiTheme="majorHAnsi" w:hAnsiTheme="majorHAnsi" w:cs="Times New Roman"/>
                <w:i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F70905">
              <w:rPr>
                <w:rFonts w:asciiTheme="majorHAnsi" w:hAnsiTheme="majorHAnsi" w:cs="Times New Roman"/>
                <w:i/>
                <w:sz w:val="28"/>
                <w:szCs w:val="28"/>
                <w:shd w:val="clear" w:color="auto" w:fill="FFFFFF"/>
              </w:rPr>
              <w:t xml:space="preserve"> соглашения, которое приводит к установлению завышенного тарифа на услуги ООО «</w:t>
            </w:r>
            <w:proofErr w:type="spellStart"/>
            <w:r w:rsidRPr="00F70905">
              <w:rPr>
                <w:rFonts w:asciiTheme="majorHAnsi" w:hAnsiTheme="majorHAnsi" w:cs="Times New Roman"/>
                <w:i/>
                <w:sz w:val="28"/>
                <w:szCs w:val="28"/>
                <w:shd w:val="clear" w:color="auto" w:fill="FFFFFF"/>
              </w:rPr>
              <w:t>КомунСервис</w:t>
            </w:r>
            <w:proofErr w:type="spellEnd"/>
            <w:r w:rsidRPr="00F70905">
              <w:rPr>
                <w:rFonts w:asciiTheme="majorHAnsi" w:hAnsiTheme="majorHAnsi" w:cs="Times New Roman"/>
                <w:i/>
                <w:sz w:val="28"/>
                <w:szCs w:val="28"/>
                <w:shd w:val="clear" w:color="auto" w:fill="FFFFFF"/>
              </w:rPr>
              <w:t>».</w:t>
            </w:r>
          </w:p>
        </w:tc>
      </w:tr>
      <w:tr w:rsidR="008322DD" w:rsidRPr="00F70905" w:rsidTr="00A50B77">
        <w:trPr>
          <w:trHeight w:val="860"/>
        </w:trPr>
        <w:tc>
          <w:tcPr>
            <w:tcW w:w="4806" w:type="dxa"/>
          </w:tcPr>
          <w:p w:rsidR="008322DD" w:rsidRPr="00F70905" w:rsidRDefault="008322DD" w:rsidP="00A50B77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F70905">
              <w:rPr>
                <w:rFonts w:asciiTheme="majorHAnsi" w:hAnsiTheme="majorHAnsi" w:cs="Times New Roman"/>
                <w:i/>
                <w:sz w:val="28"/>
                <w:szCs w:val="28"/>
                <w:shd w:val="clear" w:color="auto" w:fill="FFFFFF"/>
              </w:rPr>
              <w:t>Количество участников в картели</w:t>
            </w:r>
          </w:p>
        </w:tc>
        <w:tc>
          <w:tcPr>
            <w:tcW w:w="4808" w:type="dxa"/>
          </w:tcPr>
          <w:p w:rsidR="008322DD" w:rsidRPr="00F70905" w:rsidRDefault="008322DD" w:rsidP="00A50B77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F70905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Компании: </w:t>
            </w:r>
            <w:r w:rsidRPr="00F70905">
              <w:rPr>
                <w:rFonts w:asciiTheme="majorHAnsi" w:hAnsiTheme="majorHAnsi" w:cs="Times New Roman"/>
                <w:i/>
                <w:sz w:val="28"/>
                <w:szCs w:val="28"/>
                <w:shd w:val="clear" w:color="auto" w:fill="FFFFFF"/>
              </w:rPr>
              <w:t>ООО «Полигон» (ИНН 1650340486) и АО «</w:t>
            </w:r>
            <w:proofErr w:type="spellStart"/>
            <w:r w:rsidRPr="00F70905">
              <w:rPr>
                <w:rFonts w:asciiTheme="majorHAnsi" w:hAnsiTheme="majorHAnsi" w:cs="Times New Roman"/>
                <w:i/>
                <w:sz w:val="28"/>
                <w:szCs w:val="28"/>
                <w:shd w:val="clear" w:color="auto" w:fill="FFFFFF"/>
              </w:rPr>
              <w:t>Экопром</w:t>
            </w:r>
            <w:proofErr w:type="spellEnd"/>
            <w:r w:rsidRPr="00F70905">
              <w:rPr>
                <w:rFonts w:asciiTheme="majorHAnsi" w:hAnsiTheme="majorHAnsi" w:cs="Times New Roman"/>
                <w:i/>
                <w:sz w:val="28"/>
                <w:szCs w:val="28"/>
                <w:shd w:val="clear" w:color="auto" w:fill="FFFFFF"/>
              </w:rPr>
              <w:t>» (ИНН 1650246420)</w:t>
            </w:r>
          </w:p>
        </w:tc>
      </w:tr>
      <w:tr w:rsidR="008322DD" w:rsidRPr="00F70905" w:rsidTr="00A50B77">
        <w:trPr>
          <w:trHeight w:val="282"/>
        </w:trPr>
        <w:tc>
          <w:tcPr>
            <w:tcW w:w="4806" w:type="dxa"/>
          </w:tcPr>
          <w:p w:rsidR="008322DD" w:rsidRPr="00F70905" w:rsidRDefault="008322DD" w:rsidP="00A50B77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F70905">
              <w:rPr>
                <w:rFonts w:asciiTheme="majorHAnsi" w:hAnsiTheme="majorHAnsi" w:cs="Times New Roman"/>
                <w:i/>
                <w:sz w:val="28"/>
                <w:szCs w:val="28"/>
                <w:shd w:val="clear" w:color="auto" w:fill="FFFFFF"/>
              </w:rPr>
              <w:t>Период длительности картеля</w:t>
            </w:r>
          </w:p>
        </w:tc>
        <w:tc>
          <w:tcPr>
            <w:tcW w:w="4808" w:type="dxa"/>
          </w:tcPr>
          <w:p w:rsidR="008322DD" w:rsidRPr="00F70905" w:rsidRDefault="008322DD" w:rsidP="00A50B77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F70905">
              <w:rPr>
                <w:rFonts w:asciiTheme="majorHAnsi" w:hAnsiTheme="majorHAnsi" w:cs="Times New Roman"/>
                <w:i/>
                <w:sz w:val="28"/>
                <w:szCs w:val="28"/>
              </w:rPr>
              <w:t>3 года</w:t>
            </w:r>
          </w:p>
        </w:tc>
      </w:tr>
      <w:tr w:rsidR="008322DD" w:rsidRPr="00F70905" w:rsidTr="00A50B77">
        <w:trPr>
          <w:trHeight w:val="1439"/>
        </w:trPr>
        <w:tc>
          <w:tcPr>
            <w:tcW w:w="4806" w:type="dxa"/>
          </w:tcPr>
          <w:p w:rsidR="008322DD" w:rsidRPr="00F70905" w:rsidRDefault="008322DD" w:rsidP="00A50B77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F70905">
              <w:rPr>
                <w:rFonts w:asciiTheme="majorHAnsi" w:hAnsiTheme="majorHAnsi" w:cs="Times New Roman"/>
                <w:i/>
                <w:sz w:val="28"/>
                <w:szCs w:val="28"/>
                <w:shd w:val="clear" w:color="auto" w:fill="FFFFFF"/>
              </w:rPr>
              <w:t>Сведения о принятом решении по делу о нарушении АМЗ</w:t>
            </w:r>
          </w:p>
        </w:tc>
        <w:tc>
          <w:tcPr>
            <w:tcW w:w="4808" w:type="dxa"/>
          </w:tcPr>
          <w:p w:rsidR="008322DD" w:rsidRPr="00F70905" w:rsidRDefault="008322DD" w:rsidP="00A50B7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Theme="majorHAnsi" w:hAnsiTheme="majorHAnsi"/>
                <w:b w:val="0"/>
                <w:bCs w:val="0"/>
                <w:i/>
                <w:sz w:val="28"/>
                <w:szCs w:val="28"/>
              </w:rPr>
            </w:pPr>
            <w:r w:rsidRPr="00F70905">
              <w:rPr>
                <w:rFonts w:asciiTheme="majorHAnsi" w:hAnsiTheme="majorHAnsi"/>
                <w:b w:val="0"/>
                <w:bCs w:val="0"/>
                <w:i/>
                <w:sz w:val="28"/>
                <w:szCs w:val="28"/>
              </w:rPr>
              <w:t>Подробности расписаны в «Решение №АР-05/702 Решение по делу №016/01/11-1230/2019 от 24 января 2020 г.</w:t>
            </w:r>
          </w:p>
          <w:p w:rsidR="008322DD" w:rsidRPr="00F70905" w:rsidRDefault="008322DD" w:rsidP="00A50B77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F70905">
              <w:rPr>
                <w:rFonts w:asciiTheme="majorHAnsi" w:hAnsiTheme="majorHAnsi" w:cs="Times New Roman"/>
                <w:i/>
                <w:sz w:val="28"/>
                <w:szCs w:val="28"/>
              </w:rPr>
              <w:t>»</w:t>
            </w:r>
          </w:p>
        </w:tc>
      </w:tr>
      <w:tr w:rsidR="008322DD" w:rsidRPr="00F70905" w:rsidTr="00A50B77">
        <w:trPr>
          <w:trHeight w:val="282"/>
        </w:trPr>
        <w:tc>
          <w:tcPr>
            <w:tcW w:w="4806" w:type="dxa"/>
          </w:tcPr>
          <w:p w:rsidR="008322DD" w:rsidRPr="00F70905" w:rsidRDefault="008322DD" w:rsidP="00A50B77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F70905">
              <w:rPr>
                <w:rFonts w:asciiTheme="majorHAnsi" w:hAnsiTheme="majorHAnsi" w:cs="Times New Roman"/>
                <w:i/>
                <w:sz w:val="28"/>
                <w:szCs w:val="28"/>
                <w:shd w:val="clear" w:color="auto" w:fill="FFFFFF"/>
              </w:rPr>
              <w:t>Вынесенные штрафы</w:t>
            </w:r>
          </w:p>
        </w:tc>
        <w:tc>
          <w:tcPr>
            <w:tcW w:w="4808" w:type="dxa"/>
          </w:tcPr>
          <w:p w:rsidR="008322DD" w:rsidRPr="00F70905" w:rsidRDefault="008322DD" w:rsidP="00A50B77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F70905">
              <w:rPr>
                <w:rFonts w:asciiTheme="majorHAnsi" w:hAnsiTheme="majorHAnsi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8322DD" w:rsidRPr="00F70905" w:rsidTr="00A50B77">
        <w:trPr>
          <w:trHeight w:val="860"/>
        </w:trPr>
        <w:tc>
          <w:tcPr>
            <w:tcW w:w="4806" w:type="dxa"/>
          </w:tcPr>
          <w:p w:rsidR="008322DD" w:rsidRPr="00F70905" w:rsidRDefault="008322DD" w:rsidP="00A50B77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F70905">
              <w:rPr>
                <w:rFonts w:asciiTheme="majorHAnsi" w:hAnsiTheme="majorHAnsi" w:cs="Times New Roman"/>
                <w:i/>
                <w:sz w:val="28"/>
                <w:szCs w:val="28"/>
                <w:shd w:val="clear" w:color="auto" w:fill="FFFFFF"/>
              </w:rPr>
              <w:lastRenderedPageBreak/>
              <w:t>Сведения об обжаловании решений, предписаний, постановлений по делу в суде с указанием результатов.</w:t>
            </w:r>
          </w:p>
        </w:tc>
        <w:tc>
          <w:tcPr>
            <w:tcW w:w="4808" w:type="dxa"/>
          </w:tcPr>
          <w:p w:rsidR="008322DD" w:rsidRPr="00F70905" w:rsidRDefault="008322DD" w:rsidP="00A50B77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F70905">
              <w:rPr>
                <w:rFonts w:asciiTheme="majorHAnsi" w:hAnsiTheme="majorHAnsi" w:cs="Times New Roman"/>
                <w:i/>
                <w:sz w:val="28"/>
                <w:szCs w:val="28"/>
              </w:rPr>
              <w:t>Отсутствуют</w:t>
            </w:r>
          </w:p>
        </w:tc>
      </w:tr>
    </w:tbl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 w:rsidP="008322DD">
      <w:pPr>
        <w:spacing w:after="0" w:line="240" w:lineRule="auto"/>
        <w:rPr>
          <w:rFonts w:asciiTheme="majorHAnsi" w:hAnsiTheme="majorHAnsi" w:cs="Times New Roman"/>
          <w:i/>
          <w:sz w:val="28"/>
          <w:szCs w:val="28"/>
          <w:shd w:val="clear" w:color="auto" w:fill="FFFFFF"/>
        </w:rPr>
      </w:pPr>
      <w:r w:rsidRPr="00F70905">
        <w:rPr>
          <w:rFonts w:asciiTheme="majorHAnsi" w:hAnsiTheme="majorHAnsi"/>
          <w:b/>
          <w:i/>
          <w:sz w:val="28"/>
          <w:szCs w:val="28"/>
        </w:rPr>
        <w:t>№2</w:t>
      </w:r>
      <w:proofErr w:type="gramStart"/>
      <w:r w:rsidRPr="00F70905">
        <w:rPr>
          <w:rFonts w:asciiTheme="majorHAnsi" w:hAnsiTheme="majorHAnsi" w:cs="Times New Roman"/>
          <w:sz w:val="28"/>
          <w:szCs w:val="28"/>
        </w:rPr>
        <w:t xml:space="preserve"> </w:t>
      </w:r>
      <w:r w:rsidRPr="00F70905">
        <w:rPr>
          <w:rFonts w:asciiTheme="majorHAnsi" w:hAnsiTheme="majorHAnsi" w:cs="Times New Roman"/>
          <w:i/>
          <w:sz w:val="28"/>
          <w:szCs w:val="28"/>
        </w:rPr>
        <w:t>В</w:t>
      </w:r>
      <w:proofErr w:type="gramEnd"/>
      <w:r w:rsidRPr="00F70905">
        <w:rPr>
          <w:rFonts w:asciiTheme="majorHAnsi" w:hAnsiTheme="majorHAnsi" w:cs="Times New Roman"/>
          <w:i/>
          <w:sz w:val="28"/>
          <w:szCs w:val="28"/>
        </w:rPr>
        <w:t xml:space="preserve"> ходе расследования дела по фирмам </w:t>
      </w:r>
      <w:r w:rsidRPr="00F70905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>ООО «Полигон» и АО «</w:t>
      </w:r>
      <w:proofErr w:type="spellStart"/>
      <w:r w:rsidRPr="00F70905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>Экопром</w:t>
      </w:r>
      <w:proofErr w:type="spellEnd"/>
      <w:r w:rsidRPr="00F70905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>» не использовалась программа по освобождению от наказания (ПОН).</w:t>
      </w: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  <w:r w:rsidRPr="00F70905">
        <w:rPr>
          <w:rFonts w:asciiTheme="majorHAnsi" w:hAnsiTheme="majorHAnsi"/>
          <w:b/>
          <w:i/>
          <w:sz w:val="28"/>
          <w:szCs w:val="28"/>
        </w:rPr>
        <w:t>№3</w:t>
      </w:r>
    </w:p>
    <w:sectPr w:rsidR="008322DD" w:rsidRPr="00F70905" w:rsidSect="00F70905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151A"/>
    <w:multiLevelType w:val="hybridMultilevel"/>
    <w:tmpl w:val="EAF6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DD"/>
    <w:rsid w:val="006D7FCF"/>
    <w:rsid w:val="008322DD"/>
    <w:rsid w:val="00F7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2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83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2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83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1430</Words>
  <Characters>8151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2020-03-23T14:35:00Z</dcterms:created>
  <dcterms:modified xsi:type="dcterms:W3CDTF">2020-03-23T14:41:00Z</dcterms:modified>
</cp:coreProperties>
</file>