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BB6E4" w14:textId="77777777" w:rsidR="00877057" w:rsidRPr="00BF3CC9" w:rsidRDefault="00877057" w:rsidP="00877057">
      <w:pPr>
        <w:spacing w:after="200" w:line="276" w:lineRule="auto"/>
        <w:jc w:val="center"/>
        <w:rPr>
          <w:rFonts w:ascii="Arial" w:eastAsia="Calibri" w:hAnsi="Arial" w:cs="Arial"/>
          <w:b/>
          <w:sz w:val="24"/>
        </w:rPr>
      </w:pPr>
      <w:r w:rsidRPr="00BF3CC9">
        <w:rPr>
          <w:rFonts w:ascii="Arial" w:eastAsia="Calibri" w:hAnsi="Arial" w:cs="Arial"/>
          <w:b/>
          <w:sz w:val="24"/>
        </w:rPr>
        <w:t>Домашнее задание.</w:t>
      </w:r>
    </w:p>
    <w:p w14:paraId="7ED4182C" w14:textId="77777777" w:rsidR="00877057" w:rsidRPr="00BF3CC9" w:rsidRDefault="00877057" w:rsidP="00877057">
      <w:pPr>
        <w:spacing w:after="200" w:line="276" w:lineRule="auto"/>
        <w:jc w:val="center"/>
        <w:rPr>
          <w:rFonts w:ascii="Arial" w:eastAsia="Calibri" w:hAnsi="Arial" w:cs="Arial"/>
          <w:b/>
          <w:sz w:val="24"/>
        </w:rPr>
      </w:pPr>
      <w:r w:rsidRPr="00BF3CC9">
        <w:rPr>
          <w:rFonts w:ascii="Arial" w:eastAsia="Calibri" w:hAnsi="Arial" w:cs="Arial"/>
          <w:b/>
          <w:sz w:val="24"/>
        </w:rPr>
        <w:t>Модуль 2.</w:t>
      </w:r>
    </w:p>
    <w:p w14:paraId="29B05DE6" w14:textId="77777777" w:rsidR="00877057" w:rsidRPr="00F06E2D" w:rsidRDefault="00877057" w:rsidP="0087705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F3CC9">
        <w:rPr>
          <w:rFonts w:ascii="Arial" w:eastAsia="Calibri" w:hAnsi="Arial" w:cs="Arial"/>
          <w:b/>
          <w:sz w:val="24"/>
          <w:u w:val="single"/>
        </w:rPr>
        <w:t>ЗАДАЧА.</w:t>
      </w:r>
      <w:r w:rsidRPr="00BF3CC9">
        <w:rPr>
          <w:rFonts w:ascii="Arial" w:eastAsia="Calibri" w:hAnsi="Arial" w:cs="Arial"/>
          <w:sz w:val="24"/>
        </w:rPr>
        <w:t xml:space="preserve"> </w:t>
      </w:r>
      <w:r w:rsidRPr="00F06E2D">
        <w:rPr>
          <w:rFonts w:ascii="Times New Roman" w:eastAsia="Calibri" w:hAnsi="Times New Roman" w:cs="Times New Roman"/>
          <w:sz w:val="24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06E2D">
        <w:rPr>
          <w:rFonts w:ascii="Times New Roman" w:eastAsia="Calibri" w:hAnsi="Times New Roman" w:cs="Times New Roman"/>
          <w:sz w:val="24"/>
        </w:rPr>
        <w:t>сказать</w:t>
      </w:r>
      <w:proofErr w:type="gramEnd"/>
      <w:r w:rsidRPr="00F06E2D">
        <w:rPr>
          <w:rFonts w:ascii="Times New Roman" w:eastAsia="Calibri" w:hAnsi="Times New Roman" w:cs="Times New Roman"/>
          <w:sz w:val="24"/>
        </w:rPr>
        <w:t xml:space="preserve"> что в данном диапазоне цен спрос на товар является эластичным.</w:t>
      </w:r>
    </w:p>
    <w:p w14:paraId="6E0F1B97" w14:textId="77777777" w:rsidR="00877057" w:rsidRPr="00F06E2D" w:rsidRDefault="00877057" w:rsidP="0087705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  <w:u w:val="single"/>
        </w:rPr>
        <w:t>Решение:</w:t>
      </w:r>
      <w:r w:rsidRPr="00F06E2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Epd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= (10/(20-5</w:t>
      </w:r>
      <w:proofErr w:type="gramStart"/>
      <w:r w:rsidRPr="00F06E2D">
        <w:rPr>
          <w:rFonts w:ascii="Times New Roman" w:eastAsia="Calibri" w:hAnsi="Times New Roman" w:cs="Times New Roman"/>
          <w:sz w:val="24"/>
        </w:rPr>
        <w:t>))/</w:t>
      </w:r>
      <w:proofErr w:type="gramEnd"/>
      <w:r w:rsidRPr="00F06E2D">
        <w:rPr>
          <w:rFonts w:ascii="Times New Roman" w:eastAsia="Calibri" w:hAnsi="Times New Roman" w:cs="Times New Roman"/>
          <w:sz w:val="24"/>
        </w:rPr>
        <w:t>((40-5)/22,5)=0,4 – спрос неэластичен (так как меньше 1)</w:t>
      </w:r>
    </w:p>
    <w:p w14:paraId="54A2644B" w14:textId="77777777" w:rsidR="00877057" w:rsidRPr="00F06E2D" w:rsidRDefault="00877057" w:rsidP="0087705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  <w:u w:val="single"/>
        </w:rPr>
        <w:t>Ответ:</w:t>
      </w:r>
      <w:r w:rsidRPr="00F06E2D">
        <w:rPr>
          <w:rFonts w:ascii="Times New Roman" w:eastAsia="Calibri" w:hAnsi="Times New Roman" w:cs="Times New Roman"/>
          <w:sz w:val="24"/>
        </w:rPr>
        <w:t xml:space="preserve"> 0,4</w:t>
      </w:r>
    </w:p>
    <w:p w14:paraId="74EE7592" w14:textId="77777777" w:rsidR="00877057" w:rsidRPr="00BF3CC9" w:rsidRDefault="00877057" w:rsidP="00877057">
      <w:pPr>
        <w:spacing w:after="200" w:line="276" w:lineRule="auto"/>
        <w:rPr>
          <w:rFonts w:ascii="Arial" w:eastAsia="Calibri" w:hAnsi="Arial" w:cs="Arial"/>
          <w:sz w:val="24"/>
        </w:rPr>
      </w:pPr>
      <w:r w:rsidRPr="00BF3CC9">
        <w:rPr>
          <w:rFonts w:ascii="Arial" w:eastAsia="Calibri" w:hAnsi="Arial" w:cs="Arial"/>
          <w:b/>
          <w:sz w:val="24"/>
          <w:u w:val="single"/>
        </w:rPr>
        <w:t>КЕЙС 3.</w:t>
      </w:r>
      <w:r w:rsidRPr="00BF3CC9">
        <w:rPr>
          <w:rFonts w:ascii="Arial" w:eastAsia="Calibri" w:hAnsi="Arial" w:cs="Arial"/>
          <w:sz w:val="24"/>
        </w:rPr>
        <w:t xml:space="preserve"> ЗАДАНИЕ ПО АНАЛИЗУ АНТИКАРТЕЛЬНЫХ ДЕЛ В ЕВРОПЕЙСКОЙ КОМИССИИ НА ОСНОВЕ ДАННЫХ. </w:t>
      </w:r>
    </w:p>
    <w:p w14:paraId="7B216A8E" w14:textId="77777777" w:rsidR="00877057" w:rsidRPr="00F06E2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06E2D">
        <w:rPr>
          <w:rFonts w:ascii="Times New Roman" w:eastAsia="Calibri" w:hAnsi="Times New Roman" w:cs="Times New Roman"/>
          <w:b/>
          <w:sz w:val="24"/>
        </w:rPr>
        <w:t>Выберите случаи, по которым вынесено окончательное решение о наложении санкций (</w:t>
      </w:r>
      <w:proofErr w:type="spellStart"/>
      <w:r w:rsidRPr="00F06E2D">
        <w:rPr>
          <w:rFonts w:ascii="Times New Roman" w:eastAsia="Calibri" w:hAnsi="Times New Roman" w:cs="Times New Roman"/>
          <w:b/>
          <w:sz w:val="24"/>
        </w:rPr>
        <w:t>fines</w:t>
      </w:r>
      <w:proofErr w:type="spellEnd"/>
      <w:r w:rsidRPr="00F06E2D">
        <w:rPr>
          <w:rFonts w:ascii="Times New Roman" w:eastAsia="Calibri" w:hAnsi="Times New Roman" w:cs="Times New Roman"/>
          <w:b/>
          <w:sz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14:paraId="4C01C7FD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</w:p>
    <w:p w14:paraId="7B621F3B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Решение Комиссии по делу производителей профессиональных видеокассет</w:t>
      </w:r>
    </w:p>
    <w:p w14:paraId="7E5510F7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  <w:u w:val="single"/>
        </w:rPr>
        <w:t>Тип нарушения</w:t>
      </w:r>
      <w:r w:rsidRPr="00F06E2D">
        <w:rPr>
          <w:rFonts w:ascii="Times New Roman" w:eastAsia="Calibri" w:hAnsi="Times New Roman" w:cs="Times New Roman"/>
          <w:sz w:val="24"/>
        </w:rPr>
        <w:t xml:space="preserve"> – фиксированные цены</w:t>
      </w:r>
    </w:p>
    <w:p w14:paraId="2078E1B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F06E2D">
        <w:rPr>
          <w:rFonts w:ascii="Times New Roman" w:eastAsia="Calibri" w:hAnsi="Times New Roman" w:cs="Times New Roman"/>
          <w:sz w:val="24"/>
        </w:rPr>
        <w:t>Антитраст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Sony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Fuji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Maxell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Sony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Fuji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Maxell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Sony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Fuji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Maxell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Leniency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Notice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F06E2D">
        <w:rPr>
          <w:rFonts w:ascii="Times New Roman" w:eastAsia="Calibri" w:hAnsi="Times New Roman" w:cs="Times New Roman"/>
          <w:sz w:val="24"/>
        </w:rPr>
        <w:t>2006  .</w:t>
      </w:r>
      <w:proofErr w:type="gramEnd"/>
      <w:r w:rsidRPr="00F06E2D">
        <w:rPr>
          <w:rFonts w:ascii="Times New Roman" w:eastAsia="Calibri" w:hAnsi="Times New Roman" w:cs="Times New Roman"/>
          <w:sz w:val="24"/>
        </w:rPr>
        <w:t xml:space="preserve"> (€)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Sony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(Япония)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None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None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47 190 000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Fuji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(Япония) 40% 8 800 000 13 200 000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Maxell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(Япония) 20% 3 600 000 14 400 000 Итого 74 790 000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14:paraId="587831C6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 </w:t>
      </w:r>
    </w:p>
    <w:p w14:paraId="161A6248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  <w:u w:val="single"/>
        </w:rPr>
        <w:t>Тип нарушения</w:t>
      </w:r>
      <w:r w:rsidRPr="00F06E2D">
        <w:rPr>
          <w:rFonts w:ascii="Times New Roman" w:eastAsia="Calibri" w:hAnsi="Times New Roman" w:cs="Times New Roman"/>
          <w:sz w:val="24"/>
        </w:rPr>
        <w:t xml:space="preserve"> – Разделение рынка</w:t>
      </w:r>
    </w:p>
    <w:p w14:paraId="0D39267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Heineken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Grolsch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Bavaria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Heineken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Grolsch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Bavaria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вместе с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группой, </w:t>
      </w:r>
      <w:r w:rsidRPr="00F06E2D">
        <w:rPr>
          <w:rFonts w:ascii="Times New Roman" w:eastAsia="Calibri" w:hAnsi="Times New Roman" w:cs="Times New Roman"/>
          <w:sz w:val="24"/>
        </w:rPr>
        <w:lastRenderedPageBreak/>
        <w:t xml:space="preserve">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14:paraId="648599EA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746E9B6B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14:paraId="524D49E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7A195B2A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Heineken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Grolsch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Bavaria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>.</w:t>
      </w:r>
    </w:p>
    <w:p w14:paraId="39CB4D33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475D6994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Штрафы. Рассмотренные случаи являются очень серьезным нарушением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антитрастовых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14:paraId="65A83A9D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01DD8FCD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14:paraId="2BE25B21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25CEC88D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</w:p>
    <w:p w14:paraId="08F07F40" w14:textId="77777777" w:rsidR="00877057" w:rsidRPr="00F06E2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06E2D">
        <w:rPr>
          <w:rFonts w:ascii="Times New Roman" w:eastAsia="Calibri" w:hAnsi="Times New Roman" w:cs="Times New Roman"/>
          <w:b/>
          <w:sz w:val="24"/>
        </w:rPr>
        <w:t>Использовалась ли в ходе дела программа освобождения от ответственности (</w:t>
      </w:r>
      <w:proofErr w:type="spellStart"/>
      <w:r w:rsidRPr="00F06E2D">
        <w:rPr>
          <w:rFonts w:ascii="Times New Roman" w:eastAsia="Calibri" w:hAnsi="Times New Roman" w:cs="Times New Roman"/>
          <w:b/>
          <w:sz w:val="24"/>
        </w:rPr>
        <w:t>Leniency</w:t>
      </w:r>
      <w:proofErr w:type="spellEnd"/>
      <w:r w:rsidRPr="00F06E2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b/>
          <w:sz w:val="24"/>
        </w:rPr>
        <w:t>Program</w:t>
      </w:r>
      <w:proofErr w:type="spellEnd"/>
      <w:r w:rsidRPr="00F06E2D">
        <w:rPr>
          <w:rFonts w:ascii="Times New Roman" w:eastAsia="Calibri" w:hAnsi="Times New Roman" w:cs="Times New Roman"/>
          <w:b/>
          <w:sz w:val="24"/>
        </w:rPr>
        <w:t xml:space="preserve">)? Оцените последствия применения </w:t>
      </w:r>
      <w:proofErr w:type="spellStart"/>
      <w:r w:rsidRPr="00F06E2D">
        <w:rPr>
          <w:rFonts w:ascii="Times New Roman" w:eastAsia="Calibri" w:hAnsi="Times New Roman" w:cs="Times New Roman"/>
          <w:b/>
          <w:sz w:val="24"/>
        </w:rPr>
        <w:t>Leniency</w:t>
      </w:r>
      <w:proofErr w:type="spellEnd"/>
      <w:r w:rsidRPr="00F06E2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b/>
          <w:sz w:val="24"/>
        </w:rPr>
        <w:t>Program</w:t>
      </w:r>
      <w:proofErr w:type="spellEnd"/>
      <w:r w:rsidRPr="00F06E2D">
        <w:rPr>
          <w:rFonts w:ascii="Times New Roman" w:eastAsia="Calibri" w:hAnsi="Times New Roman" w:cs="Times New Roman"/>
          <w:b/>
          <w:sz w:val="24"/>
        </w:rPr>
        <w:t xml:space="preserve"> на картель.</w:t>
      </w:r>
    </w:p>
    <w:p w14:paraId="0D4E6C4E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1. В случае с видеокассетами программа не использовалась.</w:t>
      </w:r>
    </w:p>
    <w:p w14:paraId="149DACB4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14:paraId="7FF729FD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Наложенные штрафы и сокращения, предоставленные Комиссией:</w:t>
      </w:r>
    </w:p>
    <w:p w14:paraId="4812BC61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Наименование и месторасположение компании</w:t>
      </w:r>
    </w:p>
    <w:p w14:paraId="11D1BD9E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Уменьшение штрафа в соответствии с Уведомлением о снисхождении</w:t>
      </w:r>
    </w:p>
    <w:p w14:paraId="36640AD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(%) Уменьшение штрафа в соответствии с Уведомлением о снисхождении</w:t>
      </w:r>
    </w:p>
    <w:p w14:paraId="3701065E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(€) Особые вычеты (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euros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>) Штраф (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euros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)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Heineken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NV (NL) &amp;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Heineken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Nederland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BV (NL)(*) 0 0 100 000 219 275 000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NV (B) &amp;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InBev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Nederland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NV (NL)(*) 100 </w:t>
      </w:r>
      <w:r w:rsidRPr="00F06E2D">
        <w:rPr>
          <w:rFonts w:ascii="Times New Roman" w:eastAsia="Calibri" w:hAnsi="Times New Roman" w:cs="Times New Roman"/>
          <w:sz w:val="24"/>
        </w:rPr>
        <w:lastRenderedPageBreak/>
        <w:t xml:space="preserve">84 375 000 0 0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Grolsch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NV (NL) 0 0 100 000 31 658 000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Bavaria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NV (NL) 0 0 100 000 22 850 000 Итого 273 783 000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14:paraId="3D5E0E54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5C587F9C" w14:textId="77777777" w:rsidR="00877057" w:rsidRPr="00F06E2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06E2D">
        <w:rPr>
          <w:rFonts w:ascii="Times New Roman" w:eastAsia="Calibri" w:hAnsi="Times New Roman" w:cs="Times New Roman"/>
          <w:b/>
          <w:sz w:val="24"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14:paraId="4A246E5F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14:paraId="72AAFF2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 xml:space="preserve">Картель стал возможным на данных рынках потому что  </w:t>
      </w:r>
    </w:p>
    <w:p w14:paraId="250BC121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1.</w:t>
      </w:r>
      <w:r w:rsidRPr="00F06E2D">
        <w:rPr>
          <w:rFonts w:ascii="Times New Roman" w:eastAsia="Calibri" w:hAnsi="Times New Roman" w:cs="Times New Roman"/>
          <w:sz w:val="24"/>
        </w:rPr>
        <w:tab/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Pr="00F06E2D">
        <w:rPr>
          <w:rFonts w:ascii="Times New Roman" w:eastAsia="Calibri" w:hAnsi="Times New Roman" w:cs="Times New Roman"/>
          <w:sz w:val="24"/>
        </w:rPr>
        <w:t>прибыльности .</w:t>
      </w:r>
      <w:proofErr w:type="gramEnd"/>
      <w:r w:rsidRPr="00F06E2D">
        <w:rPr>
          <w:rFonts w:ascii="Times New Roman" w:eastAsia="Calibri" w:hAnsi="Times New Roman" w:cs="Times New Roman"/>
          <w:sz w:val="24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14:paraId="4EFCE4EE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2.</w:t>
      </w:r>
      <w:r w:rsidRPr="00F06E2D">
        <w:rPr>
          <w:rFonts w:ascii="Times New Roman" w:eastAsia="Calibri" w:hAnsi="Times New Roman" w:cs="Times New Roman"/>
          <w:sz w:val="24"/>
        </w:rPr>
        <w:tab/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чистыи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F06E2D">
        <w:rPr>
          <w:rFonts w:ascii="Times New Roman" w:eastAsia="Calibri" w:hAnsi="Times New Roman" w:cs="Times New Roman"/>
          <w:sz w:val="24"/>
        </w:rPr>
        <w:t>Транснефти</w:t>
      </w:r>
      <w:proofErr w:type="spellEnd"/>
      <w:r w:rsidRPr="00F06E2D">
        <w:rPr>
          <w:rFonts w:ascii="Times New Roman" w:eastAsia="Calibri" w:hAnsi="Times New Roman" w:cs="Times New Roman"/>
          <w:sz w:val="24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14:paraId="56E76569" w14:textId="77777777" w:rsidR="00877057" w:rsidRPr="00F06E2D" w:rsidRDefault="00877057" w:rsidP="008770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t>3.</w:t>
      </w:r>
      <w:r w:rsidRPr="00F06E2D">
        <w:rPr>
          <w:rFonts w:ascii="Times New Roman" w:eastAsia="Calibri" w:hAnsi="Times New Roman" w:cs="Times New Roman"/>
          <w:sz w:val="24"/>
        </w:rPr>
        <w:tab/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14:paraId="062A5D04" w14:textId="77777777" w:rsidR="00877057" w:rsidRDefault="00877057" w:rsidP="00877057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F06E2D">
        <w:rPr>
          <w:rFonts w:ascii="Times New Roman" w:eastAsia="Calibri" w:hAnsi="Times New Roman" w:cs="Times New Roman"/>
          <w:sz w:val="24"/>
        </w:rPr>
        <w:lastRenderedPageBreak/>
        <w:t>4.</w:t>
      </w:r>
      <w:r w:rsidRPr="00F06E2D">
        <w:rPr>
          <w:rFonts w:ascii="Times New Roman" w:eastAsia="Calibri" w:hAnsi="Times New Roman" w:cs="Times New Roman"/>
          <w:sz w:val="24"/>
        </w:rPr>
        <w:tab/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</w:t>
      </w:r>
      <w:r w:rsidRPr="00BF3CC9">
        <w:rPr>
          <w:rFonts w:ascii="Arial" w:eastAsia="Calibri" w:hAnsi="Arial" w:cs="Arial"/>
          <w:sz w:val="24"/>
        </w:rPr>
        <w:t>.</w:t>
      </w:r>
    </w:p>
    <w:p w14:paraId="7F4FEC25" w14:textId="014A9DFA" w:rsidR="00F06E2D" w:rsidRPr="00F06E2D" w:rsidRDefault="00F06E2D" w:rsidP="00F06E2D">
      <w:pPr>
        <w:rPr>
          <w:rFonts w:ascii="Arial" w:hAnsi="Arial" w:cs="Arial"/>
        </w:rPr>
      </w:pPr>
      <w:r>
        <w:rPr>
          <w:rFonts w:ascii="Arial" w:hAnsi="Arial" w:cs="Arial"/>
        </w:rPr>
        <w:t>Кейс №4</w:t>
      </w:r>
    </w:p>
    <w:p w14:paraId="44ECF227" w14:textId="2B223268" w:rsidR="000F76EB" w:rsidRPr="00BF3CC9" w:rsidRDefault="00F06E2D" w:rsidP="00F06E2D">
      <w:pPr>
        <w:ind w:left="-567"/>
        <w:rPr>
          <w:rFonts w:ascii="Arial" w:hAnsi="Arial" w:cs="Arial"/>
        </w:rPr>
      </w:pPr>
      <w:bookmarkStart w:id="0" w:name="_GoBack"/>
      <w:r w:rsidRPr="002134AF">
        <w:rPr>
          <w:noProof/>
          <w:lang w:eastAsia="ru-RU"/>
        </w:rPr>
        <w:drawing>
          <wp:inline distT="0" distB="0" distL="0" distR="0" wp14:anchorId="6A958286" wp14:editId="5717ECEB">
            <wp:extent cx="5940425" cy="7452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661252" w14:textId="1BA2CC61" w:rsidR="002134AF" w:rsidRDefault="002134AF"/>
    <w:sectPr w:rsidR="0021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EB"/>
    <w:rsid w:val="000F76EB"/>
    <w:rsid w:val="001150EB"/>
    <w:rsid w:val="002134AF"/>
    <w:rsid w:val="00877057"/>
    <w:rsid w:val="00BF3CC9"/>
    <w:rsid w:val="00F0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969"/>
  <w15:chartTrackingRefBased/>
  <w15:docId w15:val="{9C73F935-4006-44CC-B45F-14743DA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Admin</cp:lastModifiedBy>
  <cp:revision>5</cp:revision>
  <dcterms:created xsi:type="dcterms:W3CDTF">2020-03-23T13:24:00Z</dcterms:created>
  <dcterms:modified xsi:type="dcterms:W3CDTF">2020-03-23T20:01:00Z</dcterms:modified>
</cp:coreProperties>
</file>