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5" w:rsidRPr="009C6D30" w:rsidRDefault="00F70905" w:rsidP="009C6D30">
      <w:pPr>
        <w:jc w:val="center"/>
        <w:rPr>
          <w:rFonts w:asciiTheme="majorHAnsi" w:hAnsiTheme="majorHAnsi"/>
          <w:b/>
          <w:i/>
        </w:rPr>
      </w:pPr>
      <w:r w:rsidRPr="009C6D30">
        <w:rPr>
          <w:rFonts w:asciiTheme="majorHAnsi" w:hAnsiTheme="majorHAnsi"/>
          <w:b/>
          <w:i/>
        </w:rPr>
        <w:t>Домашнее задание №2</w:t>
      </w:r>
    </w:p>
    <w:p w:rsidR="00F70905" w:rsidRPr="009C6D30" w:rsidRDefault="009C6D30" w:rsidP="00F70905">
      <w:pP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9C6D30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Дано:</w:t>
      </w:r>
    </w:p>
    <w:p w:rsidR="00F70905" w:rsidRDefault="00F70905" w:rsidP="009C6D30">
      <w:pPr>
        <w:rPr>
          <w:rFonts w:asciiTheme="majorHAnsi" w:hAnsiTheme="majorHAnsi"/>
          <w:b/>
          <w:i/>
        </w:rPr>
      </w:pPr>
      <w:r w:rsidRPr="009C6D30">
        <w:rPr>
          <w:rFonts w:asciiTheme="majorHAnsi" w:hAnsiTheme="majorHAnsi"/>
          <w:b/>
          <w:i/>
        </w:rPr>
        <w:t>При цене 5 рублей объем спроса на товар составляет 20 единиц, а при цене 40 рублей- 10 единиц. Можно ли сказать</w:t>
      </w:r>
      <w:r w:rsidR="009C6D30">
        <w:rPr>
          <w:rFonts w:asciiTheme="majorHAnsi" w:hAnsiTheme="majorHAnsi"/>
          <w:b/>
          <w:i/>
        </w:rPr>
        <w:t xml:space="preserve">, </w:t>
      </w:r>
      <w:r w:rsidRPr="009C6D30">
        <w:rPr>
          <w:rFonts w:asciiTheme="majorHAnsi" w:hAnsiTheme="majorHAnsi"/>
          <w:b/>
          <w:i/>
        </w:rPr>
        <w:t xml:space="preserve"> что в данном диапазоне цен спрос на товар является эластичным.</w:t>
      </w:r>
    </w:p>
    <w:p w:rsidR="009C6D30" w:rsidRPr="009C6D30" w:rsidRDefault="009C6D30" w:rsidP="009C6D30">
      <w:pP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Решение</w:t>
      </w:r>
      <w:r w:rsidRPr="009C6D30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:</w:t>
      </w:r>
    </w:p>
    <w:p w:rsidR="009C6D30" w:rsidRDefault="009C6D30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  <w:sectPr w:rsidR="009C6D30" w:rsidSect="00F70905"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lastRenderedPageBreak/>
        <w:t>E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pd</w:t>
      </w:r>
      <w:proofErr w:type="spellEnd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10/15)/(35/22,5)=0,43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dP</w:t>
      </w:r>
      <w:proofErr w:type="spell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40-5=35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dQ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d</w:t>
      </w:r>
      <w:proofErr w:type="spell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20-10=10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lastRenderedPageBreak/>
        <w:t>P</w:t>
      </w:r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40+5)/2=22,5</w:t>
      </w:r>
    </w:p>
    <w:p w:rsidR="009C6D30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  <w:sectPr w:rsidR="009C6D30" w:rsidSect="009C6D30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  <w:proofErr w:type="spell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Q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d</w:t>
      </w:r>
      <w:proofErr w:type="spellEnd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20+10)/2=15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</w:rPr>
      </w:pPr>
      <w:r w:rsidRPr="00F70905">
        <w:rPr>
          <w:rFonts w:asciiTheme="majorHAnsi" w:hAnsiTheme="majorHAnsi" w:cs="Times New Roman"/>
          <w:i/>
          <w:sz w:val="28"/>
          <w:szCs w:val="28"/>
        </w:rPr>
        <w:lastRenderedPageBreak/>
        <w:t>0</w:t>
      </w:r>
      <w:r w:rsidRPr="009C6D30">
        <w:rPr>
          <w:rFonts w:asciiTheme="majorHAnsi" w:hAnsiTheme="majorHAnsi" w:cs="Times New Roman"/>
          <w:i/>
          <w:sz w:val="28"/>
          <w:szCs w:val="28"/>
        </w:rPr>
        <w:t xml:space="preserve">&lt;0,43&lt;1 </w:t>
      </w:r>
      <w:r w:rsidR="009C6D30">
        <w:rPr>
          <w:rFonts w:asciiTheme="majorHAnsi" w:hAnsiTheme="majorHAnsi" w:cs="Times New Roman"/>
          <w:i/>
          <w:sz w:val="28"/>
          <w:szCs w:val="28"/>
        </w:rPr>
        <w:br/>
      </w:r>
      <w:r w:rsidR="009C6D30" w:rsidRPr="009C6D30">
        <w:rPr>
          <w:rFonts w:asciiTheme="majorHAnsi" w:hAnsiTheme="majorHAnsi" w:cs="Times New Roman"/>
          <w:sz w:val="28"/>
          <w:szCs w:val="28"/>
        </w:rPr>
        <w:t>Ответ</w:t>
      </w:r>
      <w:proofErr w:type="gramStart"/>
      <w:r w:rsidR="009C6D30" w:rsidRPr="009C6D30">
        <w:rPr>
          <w:rFonts w:asciiTheme="majorHAnsi" w:hAnsiTheme="majorHAnsi" w:cs="Times New Roman"/>
          <w:sz w:val="28"/>
          <w:szCs w:val="28"/>
        </w:rPr>
        <w:t xml:space="preserve"> :</w:t>
      </w:r>
      <w:proofErr w:type="gramEnd"/>
      <w:r w:rsidR="009C6D30" w:rsidRPr="009C6D30">
        <w:rPr>
          <w:rFonts w:asciiTheme="majorHAnsi" w:hAnsiTheme="majorHAnsi" w:cs="Times New Roman"/>
          <w:sz w:val="28"/>
          <w:szCs w:val="28"/>
        </w:rPr>
        <w:t xml:space="preserve"> </w:t>
      </w:r>
      <w:r w:rsidR="009C6D30">
        <w:rPr>
          <w:rFonts w:asciiTheme="majorHAnsi" w:hAnsiTheme="majorHAnsi" w:cs="Times New Roman"/>
          <w:sz w:val="28"/>
          <w:szCs w:val="28"/>
        </w:rPr>
        <w:t xml:space="preserve"> </w:t>
      </w:r>
      <w:r w:rsidRPr="009C6D30">
        <w:rPr>
          <w:rFonts w:asciiTheme="majorHAnsi" w:hAnsiTheme="majorHAnsi" w:cs="Times New Roman"/>
          <w:sz w:val="28"/>
          <w:szCs w:val="28"/>
        </w:rPr>
        <w:t>Спрос неэластичен</w:t>
      </w:r>
      <w:r w:rsidRPr="00F70905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8322DD" w:rsidRPr="009C6D30" w:rsidRDefault="008322DD" w:rsidP="009C6D30">
      <w:pPr>
        <w:jc w:val="center"/>
        <w:rPr>
          <w:rFonts w:asciiTheme="majorHAnsi" w:hAnsiTheme="majorHAnsi"/>
          <w:b/>
          <w:i/>
        </w:rPr>
      </w:pPr>
      <w:bookmarkStart w:id="0" w:name="_GoBack"/>
      <w:bookmarkEnd w:id="0"/>
      <w:r w:rsidRPr="009C6D30">
        <w:rPr>
          <w:rFonts w:asciiTheme="majorHAnsi" w:hAnsiTheme="majorHAnsi"/>
          <w:b/>
          <w:i/>
        </w:rPr>
        <w:t>Кейс №3</w:t>
      </w:r>
    </w:p>
    <w:p w:rsidR="008322DD" w:rsidRPr="00F70905" w:rsidRDefault="008322DD" w:rsidP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З</w:t>
      </w:r>
      <w:r w:rsidR="009C6D30">
        <w:rPr>
          <w:rFonts w:asciiTheme="majorHAnsi" w:eastAsia="Calibri" w:hAnsiTheme="majorHAnsi" w:cs="Arial"/>
          <w:i/>
          <w:sz w:val="28"/>
          <w:szCs w:val="28"/>
        </w:rPr>
        <w:t xml:space="preserve">адание: 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r w:rsidRPr="009C6D30">
        <w:rPr>
          <w:rFonts w:asciiTheme="majorHAnsi" w:eastAsia="Calibri" w:hAnsiTheme="majorHAnsi" w:cs="Arial"/>
          <w:i/>
          <w:sz w:val="20"/>
          <w:szCs w:val="28"/>
        </w:rPr>
        <w:t>ПО АНАЛИЗУ АНТИКАРТЕЛЬНЫХ ДЕЛ В ЕВРОПЕЙСКОЙ КОМИССИИ НА ОСНОВЕ ДАННЫХ</w:t>
      </w:r>
      <w:r w:rsidR="009C6D30">
        <w:rPr>
          <w:rFonts w:asciiTheme="majorHAnsi" w:eastAsia="Calibri" w:hAnsiTheme="majorHAnsi" w:cs="Arial"/>
          <w:i/>
          <w:sz w:val="20"/>
          <w:szCs w:val="28"/>
        </w:rPr>
        <w:t xml:space="preserve"> … </w:t>
      </w: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Выберите случаи, по которым вынесено окончательное решение о наложении санкций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fines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Решение Комиссии по делу производителей профессиональных видеокассет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Тип нарушения</w:t>
      </w:r>
      <w:r w:rsidR="009C6D30">
        <w:rPr>
          <w:rFonts w:asciiTheme="majorHAnsi" w:eastAsia="Calibri" w:hAnsiTheme="majorHAnsi" w:cs="Arial"/>
          <w:sz w:val="28"/>
          <w:szCs w:val="28"/>
        </w:rPr>
        <w:t>: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 – фиксированные цены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Антитраст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>: Штрафы Комиссии по делу производителей профессиональных видеокассет на сумму свыше € 74 миллионов за создание картеля по фиксированию цен</w:t>
      </w:r>
      <w:r w:rsidR="009C6D30">
        <w:rPr>
          <w:rFonts w:asciiTheme="majorHAnsi" w:eastAsia="Calibri" w:hAnsiTheme="majorHAnsi" w:cs="Arial"/>
          <w:sz w:val="28"/>
          <w:szCs w:val="28"/>
        </w:rPr>
        <w:t>.</w:t>
      </w:r>
      <w:r w:rsidR="009C6D30">
        <w:rPr>
          <w:rFonts w:asciiTheme="majorHAnsi" w:eastAsia="Calibri" w:hAnsiTheme="majorHAnsi" w:cs="Arial"/>
          <w:sz w:val="28"/>
          <w:szCs w:val="28"/>
        </w:rPr>
        <w:br/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 Европейская комиссия нал</w:t>
      </w:r>
      <w:r w:rsidR="009C6D30">
        <w:rPr>
          <w:rFonts w:asciiTheme="majorHAnsi" w:eastAsia="Calibri" w:hAnsiTheme="majorHAnsi" w:cs="Arial"/>
          <w:sz w:val="28"/>
          <w:szCs w:val="28"/>
        </w:rPr>
        <w:t>ожила штрафы, всего на сумму 74.790.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000 €, на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Sony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Fuji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Maxell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</w:t>
      </w:r>
      <w:r w:rsidR="009C6D30">
        <w:rPr>
          <w:rFonts w:asciiTheme="majorHAnsi" w:eastAsia="Calibri" w:hAnsiTheme="majorHAnsi" w:cs="Arial"/>
          <w:sz w:val="28"/>
          <w:szCs w:val="28"/>
        </w:rPr>
        <w:t>чению рыночных отношений (</w:t>
      </w:r>
      <w:proofErr w:type="spellStart"/>
      <w:proofErr w:type="gramStart"/>
      <w:r w:rsidR="009C6D30">
        <w:rPr>
          <w:rFonts w:asciiTheme="majorHAnsi" w:eastAsia="Calibri" w:hAnsiTheme="majorHAnsi" w:cs="Arial"/>
          <w:sz w:val="28"/>
          <w:szCs w:val="28"/>
        </w:rPr>
        <w:t>Ст</w:t>
      </w:r>
      <w:proofErr w:type="spellEnd"/>
      <w:proofErr w:type="gramEnd"/>
      <w:r w:rsidRPr="009C6D30">
        <w:rPr>
          <w:rFonts w:asciiTheme="majorHAnsi" w:eastAsia="Calibri" w:hAnsiTheme="majorHAnsi" w:cs="Arial"/>
          <w:sz w:val="28"/>
          <w:szCs w:val="28"/>
        </w:rPr>
        <w:t xml:space="preserve"> 81). В период между 1999 и 2002 годами,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Sony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Fuji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Maxell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контролировали </w:t>
      </w:r>
      <w:proofErr w:type="gramStart"/>
      <w:r w:rsidRPr="009C6D30">
        <w:rPr>
          <w:rFonts w:asciiTheme="majorHAnsi" w:eastAsia="Calibri" w:hAnsiTheme="majorHAnsi" w:cs="Arial"/>
          <w:sz w:val="28"/>
          <w:szCs w:val="28"/>
        </w:rPr>
        <w:t>цены</w:t>
      </w:r>
      <w:proofErr w:type="gramEnd"/>
      <w:r w:rsidRPr="009C6D30">
        <w:rPr>
          <w:rFonts w:asciiTheme="majorHAnsi" w:eastAsia="Calibri" w:hAnsiTheme="majorHAnsi" w:cs="Arial"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Sony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Fuji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Maxell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Leniency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Notice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). Однако в данном случае освобождения от ответственности не было. Для расчета штрафов в </w:t>
      </w:r>
      <w:r w:rsidRPr="009C6D30">
        <w:rPr>
          <w:rFonts w:asciiTheme="majorHAnsi" w:eastAsia="Calibri" w:hAnsiTheme="majorHAnsi" w:cs="Arial"/>
          <w:sz w:val="28"/>
          <w:szCs w:val="28"/>
        </w:rPr>
        <w:lastRenderedPageBreak/>
        <w:t>данном деле Комиссия впервые применила новое Руководство 2006  .</w:t>
      </w:r>
      <w:r w:rsidR="009C6D30">
        <w:rPr>
          <w:rFonts w:asciiTheme="majorHAnsi" w:eastAsia="Calibri" w:hAnsiTheme="majorHAnsi" w:cs="Arial"/>
          <w:sz w:val="28"/>
          <w:szCs w:val="28"/>
        </w:rPr>
        <w:t xml:space="preserve"> (€)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Sony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(Япония)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None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None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47.190.000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Fuji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(Япония) 40% 8.800.000 13.200.000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Maxell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(Япония) 20% 3.600.000 14.400.000</w:t>
      </w:r>
      <w:proofErr w:type="gramStart"/>
      <w:r w:rsidR="009C6D30">
        <w:rPr>
          <w:rFonts w:asciiTheme="majorHAnsi" w:eastAsia="Calibri" w:hAnsiTheme="majorHAnsi" w:cs="Arial"/>
          <w:sz w:val="28"/>
          <w:szCs w:val="28"/>
        </w:rPr>
        <w:t xml:space="preserve"> И</w:t>
      </w:r>
      <w:proofErr w:type="gramEnd"/>
      <w:r w:rsidR="009C6D30">
        <w:rPr>
          <w:rFonts w:asciiTheme="majorHAnsi" w:eastAsia="Calibri" w:hAnsiTheme="majorHAnsi" w:cs="Arial"/>
          <w:sz w:val="28"/>
          <w:szCs w:val="28"/>
        </w:rPr>
        <w:t>того 74.790.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Тип нарушения</w:t>
      </w:r>
      <w:proofErr w:type="gramStart"/>
      <w:r w:rsidR="009C6D30">
        <w:rPr>
          <w:rFonts w:asciiTheme="majorHAnsi" w:eastAsia="Calibri" w:hAnsiTheme="majorHAnsi" w:cs="Arial"/>
          <w:sz w:val="28"/>
          <w:szCs w:val="28"/>
        </w:rPr>
        <w:t xml:space="preserve"> :</w:t>
      </w:r>
      <w:proofErr w:type="gramEnd"/>
      <w:r w:rsidR="009C6D30">
        <w:rPr>
          <w:rFonts w:asciiTheme="majorHAnsi" w:eastAsia="Calibri" w:hAnsiTheme="majorHAnsi" w:cs="Arial"/>
          <w:sz w:val="28"/>
          <w:szCs w:val="28"/>
        </w:rPr>
        <w:t xml:space="preserve"> </w:t>
      </w:r>
      <w:r w:rsidRPr="009C6D30">
        <w:rPr>
          <w:rFonts w:asciiTheme="majorHAnsi" w:eastAsia="Calibri" w:hAnsiTheme="majorHAnsi" w:cs="Arial"/>
          <w:sz w:val="28"/>
          <w:szCs w:val="28"/>
        </w:rPr>
        <w:t>Разделение рынка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на общую сумму € 273.783.</w:t>
      </w:r>
      <w:r w:rsidRPr="009C6D30">
        <w:rPr>
          <w:rFonts w:asciiTheme="majorHAnsi" w:eastAsia="Calibri" w:hAnsiTheme="majorHAnsi" w:cs="Arial"/>
          <w:sz w:val="28"/>
          <w:szCs w:val="28"/>
        </w:rPr>
        <w:t>000 за создание картеля на рынке пива в Нидерландах в нарушении Соглашения EC о запрете на картели и другие действия по ограни</w:t>
      </w:r>
      <w:r w:rsidR="009C6D30">
        <w:rPr>
          <w:rFonts w:asciiTheme="majorHAnsi" w:eastAsia="Calibri" w:hAnsiTheme="majorHAnsi" w:cs="Arial"/>
          <w:sz w:val="28"/>
          <w:szCs w:val="28"/>
        </w:rPr>
        <w:t>чению рыночных отношений (</w:t>
      </w:r>
      <w:proofErr w:type="spellStart"/>
      <w:proofErr w:type="gramStart"/>
      <w:r w:rsidR="009C6D30">
        <w:rPr>
          <w:rFonts w:asciiTheme="majorHAnsi" w:eastAsia="Calibri" w:hAnsiTheme="majorHAnsi" w:cs="Arial"/>
          <w:sz w:val="28"/>
          <w:szCs w:val="28"/>
        </w:rPr>
        <w:t>Ст</w:t>
      </w:r>
      <w:proofErr w:type="spellEnd"/>
      <w:proofErr w:type="gramEnd"/>
      <w:r w:rsidRPr="009C6D30">
        <w:rPr>
          <w:rFonts w:asciiTheme="majorHAnsi" w:eastAsia="Calibri" w:hAnsiTheme="majorHAnsi" w:cs="Arial"/>
          <w:sz w:val="28"/>
          <w:szCs w:val="28"/>
        </w:rPr>
        <w:t xml:space="preserve"> 81). Решение Комиссии включает группу компаний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вместе с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,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>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lastRenderedPageBreak/>
        <w:t xml:space="preserve">Штрафы. Рассмотренные случаи являются очень серьезным нарушением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антитрастовых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>
        <w:rPr>
          <w:rFonts w:asciiTheme="majorHAnsi" w:eastAsia="Calibri" w:hAnsiTheme="majorHAnsi" w:cs="Arial"/>
          <w:sz w:val="28"/>
          <w:szCs w:val="28"/>
        </w:rPr>
        <w:t>р штрафов был уменьшен на € 100.</w:t>
      </w:r>
      <w:r w:rsidRPr="009C6D30">
        <w:rPr>
          <w:rFonts w:asciiTheme="majorHAnsi" w:eastAsia="Calibri" w:hAnsiTheme="majorHAnsi" w:cs="Arial"/>
          <w:sz w:val="28"/>
          <w:szCs w:val="28"/>
        </w:rPr>
        <w:t>000.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Использовалась ли в ходе дела программа освобождения от ответственности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Leniency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Program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)? Оцените последствия применения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Leniency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Program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на картель.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1. В случае с видеокассетами программа не использовалась.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>
        <w:rPr>
          <w:rFonts w:asciiTheme="majorHAnsi" w:eastAsia="Calibri" w:hAnsiTheme="majorHAnsi" w:cs="Arial"/>
          <w:sz w:val="28"/>
          <w:szCs w:val="28"/>
        </w:rPr>
        <w:t>р штрафов был уменьшен на € 100.</w:t>
      </w:r>
      <w:r w:rsidRPr="009C6D30">
        <w:rPr>
          <w:rFonts w:asciiTheme="majorHAnsi" w:eastAsia="Calibri" w:hAnsiTheme="majorHAnsi" w:cs="Arial"/>
          <w:sz w:val="28"/>
          <w:szCs w:val="28"/>
        </w:rPr>
        <w:t>000.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Наложенные штрафы и сокращения, предоставленные Комиссией: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Наименование и месторасположение компании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Уменьшение штрафа в соответствии с Уведомлением о снисхождении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(%) Уменьшение штрафа в соответствии с Уведомлением о снисхождении</w:t>
      </w: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 w:rsidRPr="009C6D30">
        <w:rPr>
          <w:rFonts w:asciiTheme="majorHAnsi" w:eastAsia="Calibri" w:hAnsiTheme="majorHAnsi" w:cs="Arial"/>
          <w:sz w:val="28"/>
          <w:szCs w:val="28"/>
        </w:rPr>
        <w:t>(€) Особые вычеты (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euros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>) Штраф (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euros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)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Heineken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NV (NL) &amp;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He</w:t>
      </w:r>
      <w:r w:rsidR="009C6D30">
        <w:rPr>
          <w:rFonts w:asciiTheme="majorHAnsi" w:eastAsia="Calibri" w:hAnsiTheme="majorHAnsi" w:cs="Arial"/>
          <w:sz w:val="28"/>
          <w:szCs w:val="28"/>
        </w:rPr>
        <w:t>ineken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Nederland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BV (NL)(*) 100.000.219.275.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InBev</w:t>
      </w:r>
      <w:proofErr w:type="spellEnd"/>
      <w:r w:rsidRPr="009C6D30">
        <w:rPr>
          <w:rFonts w:asciiTheme="majorHAnsi" w:eastAsia="Calibri" w:hAnsiTheme="majorHAnsi" w:cs="Arial"/>
          <w:sz w:val="28"/>
          <w:szCs w:val="28"/>
        </w:rPr>
        <w:t xml:space="preserve"> NV (B) &amp; </w:t>
      </w:r>
      <w:proofErr w:type="spellStart"/>
      <w:r w:rsidRPr="009C6D30">
        <w:rPr>
          <w:rFonts w:asciiTheme="majorHAnsi" w:eastAsia="Calibri" w:hAnsiTheme="majorHAnsi" w:cs="Arial"/>
          <w:sz w:val="28"/>
          <w:szCs w:val="28"/>
        </w:rPr>
        <w:t>In</w:t>
      </w:r>
      <w:r w:rsidR="009C6D30">
        <w:rPr>
          <w:rFonts w:asciiTheme="majorHAnsi" w:eastAsia="Calibri" w:hAnsiTheme="majorHAnsi" w:cs="Arial"/>
          <w:sz w:val="28"/>
          <w:szCs w:val="28"/>
        </w:rPr>
        <w:t>Bev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Nederland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NV (NL)(*) 100 84.375.000 0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0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Grolsch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NV (NL) 0 0.100.000 31.658 000 </w:t>
      </w:r>
      <w:proofErr w:type="spellStart"/>
      <w:r w:rsidR="009C6D30">
        <w:rPr>
          <w:rFonts w:asciiTheme="majorHAnsi" w:eastAsia="Calibri" w:hAnsiTheme="majorHAnsi" w:cs="Arial"/>
          <w:sz w:val="28"/>
          <w:szCs w:val="28"/>
        </w:rPr>
        <w:t>Bavaria</w:t>
      </w:r>
      <w:proofErr w:type="spellEnd"/>
      <w:r w:rsidR="009C6D30">
        <w:rPr>
          <w:rFonts w:asciiTheme="majorHAnsi" w:eastAsia="Calibri" w:hAnsiTheme="majorHAnsi" w:cs="Arial"/>
          <w:sz w:val="28"/>
          <w:szCs w:val="28"/>
        </w:rPr>
        <w:t xml:space="preserve"> NV (NL) 0 0.100.000 22.850.000</w:t>
      </w:r>
      <w:proofErr w:type="gramStart"/>
      <w:r w:rsidR="009C6D30">
        <w:rPr>
          <w:rFonts w:asciiTheme="majorHAnsi" w:eastAsia="Calibri" w:hAnsiTheme="majorHAnsi" w:cs="Arial"/>
          <w:sz w:val="28"/>
          <w:szCs w:val="28"/>
        </w:rPr>
        <w:t xml:space="preserve"> И</w:t>
      </w:r>
      <w:proofErr w:type="gramEnd"/>
      <w:r w:rsidR="009C6D30">
        <w:rPr>
          <w:rFonts w:asciiTheme="majorHAnsi" w:eastAsia="Calibri" w:hAnsiTheme="majorHAnsi" w:cs="Arial"/>
          <w:sz w:val="28"/>
          <w:szCs w:val="28"/>
        </w:rPr>
        <w:t>того 273.783.</w:t>
      </w:r>
      <w:r w:rsidRPr="009C6D30">
        <w:rPr>
          <w:rFonts w:asciiTheme="majorHAnsi" w:eastAsia="Calibri" w:hAnsiTheme="majorHAnsi" w:cs="Arial"/>
          <w:sz w:val="28"/>
          <w:szCs w:val="28"/>
        </w:rPr>
        <w:t xml:space="preserve">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</w:t>
      </w:r>
      <w:proofErr w:type="gramStart"/>
      <w:r w:rsidRPr="009C6D30">
        <w:rPr>
          <w:rFonts w:asciiTheme="majorHAnsi" w:eastAsia="Calibri" w:hAnsiTheme="majorHAnsi" w:cs="Arial"/>
          <w:sz w:val="28"/>
          <w:szCs w:val="28"/>
        </w:rPr>
        <w:t>имело место и было</w:t>
      </w:r>
      <w:proofErr w:type="gramEnd"/>
      <w:r w:rsidRPr="009C6D30">
        <w:rPr>
          <w:rFonts w:asciiTheme="majorHAnsi" w:eastAsia="Calibri" w:hAnsiTheme="majorHAnsi" w:cs="Arial"/>
          <w:sz w:val="28"/>
          <w:szCs w:val="28"/>
        </w:rPr>
        <w:t xml:space="preserve">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9C6D30" w:rsidRDefault="008322DD" w:rsidP="008322DD">
      <w:pPr>
        <w:ind w:left="720"/>
        <w:contextualSpacing/>
        <w:rPr>
          <w:rFonts w:asciiTheme="majorHAnsi" w:eastAsia="Calibri" w:hAnsiTheme="majorHAnsi" w:cs="Arial"/>
          <w:b/>
          <w:sz w:val="28"/>
          <w:szCs w:val="28"/>
        </w:rPr>
      </w:pPr>
      <w:r w:rsidRPr="009C6D30">
        <w:rPr>
          <w:rFonts w:asciiTheme="majorHAnsi" w:eastAsia="Calibri" w:hAnsiTheme="majorHAnsi" w:cs="Arial"/>
          <w:b/>
          <w:sz w:val="28"/>
          <w:szCs w:val="28"/>
        </w:rPr>
        <w:lastRenderedPageBreak/>
        <w:t xml:space="preserve">Картель стал возможным на данных рынках потому что  </w:t>
      </w:r>
      <w:r w:rsidR="009C6D30">
        <w:rPr>
          <w:rFonts w:asciiTheme="majorHAnsi" w:eastAsia="Calibri" w:hAnsiTheme="majorHAnsi" w:cs="Arial"/>
          <w:b/>
          <w:sz w:val="28"/>
          <w:szCs w:val="28"/>
        </w:rPr>
        <w:t>…</w:t>
      </w:r>
    </w:p>
    <w:p w:rsidR="008322DD" w:rsidRPr="009C6D30" w:rsidRDefault="009C6D30" w:rsidP="008322DD">
      <w:pPr>
        <w:ind w:left="720"/>
        <w:contextualSpacing/>
        <w:rPr>
          <w:rFonts w:asciiTheme="majorHAnsi" w:eastAsia="Calibri" w:hAnsiTheme="majorHAnsi" w:cs="Arial"/>
          <w:sz w:val="28"/>
          <w:szCs w:val="28"/>
        </w:rPr>
      </w:pPr>
      <w:r>
        <w:rPr>
          <w:rFonts w:asciiTheme="majorHAnsi" w:eastAsia="Calibri" w:hAnsiTheme="majorHAnsi" w:cs="Arial"/>
          <w:sz w:val="28"/>
          <w:szCs w:val="28"/>
        </w:rPr>
        <w:t>1.</w:t>
      </w:r>
      <w:r>
        <w:rPr>
          <w:rFonts w:asciiTheme="majorHAnsi" w:eastAsia="Calibri" w:hAnsiTheme="majorHAnsi" w:cs="Arial"/>
          <w:sz w:val="28"/>
          <w:szCs w:val="28"/>
        </w:rPr>
        <w:tab/>
        <w:t>произошло п</w:t>
      </w:r>
      <w:r w:rsidR="008322DD" w:rsidRPr="009C6D30">
        <w:rPr>
          <w:rFonts w:asciiTheme="majorHAnsi" w:eastAsia="Calibri" w:hAnsiTheme="majorHAnsi" w:cs="Arial"/>
          <w:sz w:val="28"/>
          <w:szCs w:val="28"/>
        </w:rPr>
        <w:t>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8322DD" w:rsidRPr="009C6D30">
        <w:rPr>
          <w:rFonts w:asciiTheme="majorHAnsi" w:eastAsia="Calibri" w:hAnsiTheme="majorHAnsi" w:cs="Arial"/>
          <w:sz w:val="28"/>
          <w:szCs w:val="28"/>
        </w:rPr>
        <w:t xml:space="preserve"> .</w:t>
      </w:r>
      <w:proofErr w:type="gramEnd"/>
      <w:r w:rsidR="008322DD" w:rsidRPr="009C6D30">
        <w:rPr>
          <w:rFonts w:asciiTheme="majorHAnsi" w:eastAsia="Calibri" w:hAnsiTheme="majorHAnsi" w:cs="Arial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8322DD" w:rsidRPr="00F70905" w:rsidRDefault="0051682B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>
        <w:rPr>
          <w:rFonts w:asciiTheme="majorHAnsi" w:eastAsia="Calibri" w:hAnsiTheme="majorHAnsi" w:cs="Arial"/>
          <w:i/>
          <w:sz w:val="28"/>
          <w:szCs w:val="28"/>
        </w:rPr>
        <w:t>2.</w:t>
      </w:r>
      <w:r>
        <w:rPr>
          <w:rFonts w:asciiTheme="majorHAnsi" w:eastAsia="Calibri" w:hAnsiTheme="majorHAnsi" w:cs="Arial"/>
          <w:i/>
          <w:sz w:val="28"/>
          <w:szCs w:val="28"/>
        </w:rPr>
        <w:tab/>
      </w:r>
      <w:r w:rsidRPr="0051682B">
        <w:rPr>
          <w:rFonts w:asciiTheme="majorHAnsi" w:eastAsia="Calibri" w:hAnsiTheme="majorHAnsi" w:cs="Arial"/>
          <w:sz w:val="28"/>
          <w:szCs w:val="28"/>
        </w:rPr>
        <w:t>з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>акреп</w:t>
      </w:r>
      <w:r w:rsidRPr="0051682B">
        <w:rPr>
          <w:rFonts w:asciiTheme="majorHAnsi" w:eastAsia="Calibri" w:hAnsiTheme="majorHAnsi" w:cs="Arial"/>
          <w:sz w:val="28"/>
          <w:szCs w:val="28"/>
        </w:rPr>
        <w:t>ились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некоторы</w:t>
      </w:r>
      <w:r w:rsidRPr="0051682B">
        <w:rPr>
          <w:rFonts w:asciiTheme="majorHAnsi" w:eastAsia="Calibri" w:hAnsiTheme="majorHAnsi" w:cs="Arial"/>
          <w:sz w:val="28"/>
          <w:szCs w:val="28"/>
        </w:rPr>
        <w:t>е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сегмент</w:t>
      </w:r>
      <w:r w:rsidRPr="0051682B">
        <w:rPr>
          <w:rFonts w:asciiTheme="majorHAnsi" w:eastAsia="Calibri" w:hAnsiTheme="majorHAnsi" w:cs="Arial"/>
          <w:sz w:val="28"/>
          <w:szCs w:val="28"/>
        </w:rPr>
        <w:t>ы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рынка под монопольным контролем. Раздел рынка ведет к тому, что фирма становится </w:t>
      </w:r>
      <w:proofErr w:type="spellStart"/>
      <w:r w:rsidR="008322DD" w:rsidRPr="0051682B">
        <w:rPr>
          <w:rFonts w:asciiTheme="majorHAnsi" w:eastAsia="Calibri" w:hAnsiTheme="majorHAnsi" w:cs="Arial"/>
          <w:sz w:val="28"/>
          <w:szCs w:val="28"/>
        </w:rPr>
        <w:t>чистыи</w:t>
      </w:r>
      <w:proofErr w:type="spellEnd"/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8322DD" w:rsidRPr="0051682B">
        <w:rPr>
          <w:rFonts w:asciiTheme="majorHAnsi" w:eastAsia="Calibri" w:hAnsiTheme="majorHAnsi" w:cs="Arial"/>
          <w:sz w:val="28"/>
          <w:szCs w:val="28"/>
        </w:rPr>
        <w:t>Транснефти</w:t>
      </w:r>
      <w:proofErr w:type="spellEnd"/>
      <w:r w:rsidR="008322DD" w:rsidRPr="0051682B">
        <w:rPr>
          <w:rFonts w:asciiTheme="majorHAnsi" w:eastAsia="Calibri" w:hAnsiTheme="majorHAnsi" w:cs="Arial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8322DD" w:rsidRPr="00F70905" w:rsidRDefault="0051682B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>
        <w:rPr>
          <w:rFonts w:asciiTheme="majorHAnsi" w:eastAsia="Calibri" w:hAnsiTheme="majorHAnsi" w:cs="Arial"/>
          <w:i/>
          <w:sz w:val="28"/>
          <w:szCs w:val="28"/>
        </w:rPr>
        <w:t>3.</w:t>
      </w:r>
      <w:r>
        <w:rPr>
          <w:rFonts w:asciiTheme="majorHAnsi" w:eastAsia="Calibri" w:hAnsiTheme="majorHAnsi" w:cs="Arial"/>
          <w:i/>
          <w:sz w:val="28"/>
          <w:szCs w:val="28"/>
        </w:rPr>
        <w:tab/>
      </w:r>
      <w:r w:rsidRPr="0051682B">
        <w:rPr>
          <w:rFonts w:asciiTheme="majorHAnsi" w:eastAsia="Calibri" w:hAnsiTheme="majorHAnsi" w:cs="Arial"/>
          <w:sz w:val="28"/>
          <w:szCs w:val="28"/>
        </w:rPr>
        <w:t>произошла д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="008322DD" w:rsidRPr="0051682B">
        <w:rPr>
          <w:rFonts w:asciiTheme="majorHAnsi" w:eastAsia="Calibri" w:hAnsiTheme="majorHAnsi" w:cs="Arial"/>
          <w:sz w:val="28"/>
          <w:szCs w:val="28"/>
        </w:rPr>
        <w:t>закурке</w:t>
      </w:r>
      <w:proofErr w:type="gramEnd"/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322DD" w:rsidRPr="00F70905" w:rsidRDefault="0051682B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>
        <w:rPr>
          <w:rFonts w:asciiTheme="majorHAnsi" w:eastAsia="Calibri" w:hAnsiTheme="majorHAnsi" w:cs="Arial"/>
          <w:i/>
          <w:sz w:val="28"/>
          <w:szCs w:val="28"/>
        </w:rPr>
        <w:t>4.</w:t>
      </w:r>
      <w:r>
        <w:rPr>
          <w:rFonts w:asciiTheme="majorHAnsi" w:eastAsia="Calibri" w:hAnsiTheme="majorHAnsi" w:cs="Arial"/>
          <w:i/>
          <w:sz w:val="28"/>
          <w:szCs w:val="28"/>
        </w:rPr>
        <w:tab/>
      </w:r>
      <w:r w:rsidRPr="0051682B">
        <w:rPr>
          <w:rFonts w:asciiTheme="majorHAnsi" w:eastAsia="Calibri" w:hAnsiTheme="majorHAnsi" w:cs="Arial"/>
          <w:sz w:val="28"/>
          <w:szCs w:val="28"/>
        </w:rPr>
        <w:t>распространение совместной  борьбы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t xml:space="preserve">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</w:t>
      </w:r>
      <w:r w:rsidR="008322DD" w:rsidRPr="0051682B">
        <w:rPr>
          <w:rFonts w:asciiTheme="majorHAnsi" w:eastAsia="Calibri" w:hAnsiTheme="majorHAnsi" w:cs="Arial"/>
          <w:sz w:val="28"/>
          <w:szCs w:val="28"/>
        </w:rPr>
        <w:lastRenderedPageBreak/>
        <w:t>тем или иным способом компенсируют расходы боровшейся с аутсайдером фирмы.</w:t>
      </w:r>
    </w:p>
    <w:tbl>
      <w:tblPr>
        <w:tblStyle w:val="a3"/>
        <w:tblpPr w:leftFromText="180" w:rightFromText="180" w:vertAnchor="page" w:horzAnchor="margin" w:tblpY="1876"/>
        <w:tblW w:w="11165" w:type="dxa"/>
        <w:tblLook w:val="04A0"/>
      </w:tblPr>
      <w:tblGrid>
        <w:gridCol w:w="5070"/>
        <w:gridCol w:w="6095"/>
      </w:tblGrid>
      <w:tr w:rsidR="0051682B" w:rsidRPr="00F70905" w:rsidTr="0051682B">
        <w:trPr>
          <w:trHeight w:val="860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Статья Закона о защите конкуренции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пункт 1 части 1 статьи 11 (Установление или поддержание цен (тарифов))</w:t>
            </w:r>
          </w:p>
        </w:tc>
      </w:tr>
      <w:tr w:rsidR="0051682B" w:rsidRPr="00F70905" w:rsidTr="0051682B">
        <w:trPr>
          <w:trHeight w:val="2878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Основание для возбуждения дела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по признакам нарушения ООО «Полигон» (ИНН 1650340486) и АО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Экопром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 (ИНН 1650246420) пункта 1 части 1 статьи 11 Федерального закона от 26.07.2006 №135-ФЗ «О защите конкуренции», что выразилось в заключени</w:t>
            </w:r>
            <w:proofErr w:type="gramStart"/>
            <w:r w:rsidRPr="0051682B">
              <w:rPr>
                <w:rFonts w:asciiTheme="majorHAnsi" w:hAnsiTheme="majorHAnsi"/>
                <w:sz w:val="28"/>
              </w:rPr>
              <w:t>и</w:t>
            </w:r>
            <w:proofErr w:type="gramEnd"/>
            <w:r w:rsidRPr="0051682B">
              <w:rPr>
                <w:rFonts w:asciiTheme="majorHAnsi" w:hAnsiTheme="majorHAnsi"/>
                <w:sz w:val="28"/>
              </w:rPr>
              <w:t xml:space="preserve"> соглашения, которое приводит к установлению завышенного тарифа на услуги ООО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КомунСервис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».</w:t>
            </w:r>
          </w:p>
        </w:tc>
      </w:tr>
      <w:tr w:rsidR="0051682B" w:rsidRPr="00F70905" w:rsidTr="0051682B">
        <w:trPr>
          <w:trHeight w:val="860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Количество участников в картели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Компании: ООО «Полигон» (ИНН 1650340486) и АО «</w:t>
            </w:r>
            <w:proofErr w:type="spellStart"/>
            <w:r w:rsidRPr="0051682B">
              <w:rPr>
                <w:rFonts w:asciiTheme="majorHAnsi" w:hAnsiTheme="majorHAnsi"/>
                <w:sz w:val="28"/>
              </w:rPr>
              <w:t>Экопром</w:t>
            </w:r>
            <w:proofErr w:type="spellEnd"/>
            <w:r w:rsidRPr="0051682B">
              <w:rPr>
                <w:rFonts w:asciiTheme="majorHAnsi" w:hAnsiTheme="majorHAnsi"/>
                <w:sz w:val="28"/>
              </w:rPr>
              <w:t>» (ИНН 1650246420)</w:t>
            </w:r>
          </w:p>
        </w:tc>
      </w:tr>
      <w:tr w:rsidR="0051682B" w:rsidRPr="00F70905" w:rsidTr="0051682B">
        <w:trPr>
          <w:trHeight w:val="282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Период длительности картеля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3 года</w:t>
            </w:r>
          </w:p>
        </w:tc>
      </w:tr>
      <w:tr w:rsidR="0051682B" w:rsidRPr="00F70905" w:rsidTr="0051682B">
        <w:trPr>
          <w:trHeight w:val="1439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Сведения о принятом решении по делу о нарушении АМЗ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Подробности расписаны в «Решение №АР-05/702 Решение по делу №016/01/11-1230/2019 от 24 января 2020 г.»</w:t>
            </w:r>
          </w:p>
        </w:tc>
      </w:tr>
      <w:tr w:rsidR="0051682B" w:rsidRPr="00F70905" w:rsidTr="0051682B">
        <w:trPr>
          <w:trHeight w:val="282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Вынесенные штрафы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Отсутствуют</w:t>
            </w:r>
          </w:p>
        </w:tc>
      </w:tr>
      <w:tr w:rsidR="0051682B" w:rsidRPr="00F70905" w:rsidTr="0051682B">
        <w:trPr>
          <w:trHeight w:val="860"/>
        </w:trPr>
        <w:tc>
          <w:tcPr>
            <w:tcW w:w="5070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6095" w:type="dxa"/>
          </w:tcPr>
          <w:p w:rsidR="0051682B" w:rsidRPr="0051682B" w:rsidRDefault="0051682B" w:rsidP="0051682B">
            <w:pPr>
              <w:rPr>
                <w:rFonts w:asciiTheme="majorHAnsi" w:hAnsiTheme="majorHAnsi"/>
                <w:sz w:val="28"/>
              </w:rPr>
            </w:pPr>
            <w:r w:rsidRPr="0051682B">
              <w:rPr>
                <w:rFonts w:asciiTheme="majorHAnsi" w:hAnsiTheme="majorHAnsi"/>
                <w:sz w:val="28"/>
              </w:rPr>
              <w:t>Отсутствуют</w:t>
            </w:r>
          </w:p>
        </w:tc>
      </w:tr>
    </w:tbl>
    <w:p w:rsidR="0051682B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Кейс №4</w:t>
      </w: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 w:rsidP="008322D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№2</w:t>
      </w:r>
      <w:proofErr w:type="gramStart"/>
      <w:r w:rsidRPr="00F70905">
        <w:rPr>
          <w:rFonts w:asciiTheme="majorHAnsi" w:hAnsiTheme="majorHAnsi" w:cs="Times New Roman"/>
          <w:sz w:val="28"/>
          <w:szCs w:val="28"/>
        </w:rPr>
        <w:t xml:space="preserve"> </w:t>
      </w:r>
      <w:r w:rsidRPr="00F70905">
        <w:rPr>
          <w:rFonts w:asciiTheme="majorHAnsi" w:hAnsiTheme="majorHAnsi" w:cs="Times New Roman"/>
          <w:i/>
          <w:sz w:val="28"/>
          <w:szCs w:val="28"/>
        </w:rPr>
        <w:t>В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</w:rPr>
        <w:t xml:space="preserve"> ходе расследования дела по фирмам </w:t>
      </w:r>
      <w:r w:rsidRPr="00814383">
        <w:rPr>
          <w:rFonts w:asciiTheme="majorHAnsi" w:hAnsiTheme="majorHAnsi"/>
          <w:sz w:val="28"/>
        </w:rPr>
        <w:t>ООО «Полигон» и АО «</w:t>
      </w:r>
      <w:proofErr w:type="spellStart"/>
      <w:r w:rsidRPr="00814383">
        <w:rPr>
          <w:rFonts w:asciiTheme="majorHAnsi" w:hAnsiTheme="majorHAnsi"/>
          <w:sz w:val="28"/>
        </w:rPr>
        <w:t>Экопром</w:t>
      </w:r>
      <w:proofErr w:type="spellEnd"/>
      <w:r w:rsidRPr="00814383">
        <w:rPr>
          <w:rFonts w:asciiTheme="majorHAnsi" w:hAnsiTheme="majorHAnsi"/>
          <w:sz w:val="28"/>
        </w:rPr>
        <w:t xml:space="preserve">» </w:t>
      </w:r>
      <w:r w:rsidRPr="00814383">
        <w:rPr>
          <w:rFonts w:asciiTheme="majorHAnsi" w:hAnsiTheme="majorHAnsi"/>
          <w:i/>
          <w:sz w:val="28"/>
        </w:rPr>
        <w:t>не использовалась программа по освобождению от наказания (ПОН)</w:t>
      </w:r>
      <w:r w:rsidRPr="00814383">
        <w:rPr>
          <w:rFonts w:asciiTheme="majorHAnsi" w:hAnsiTheme="majorHAnsi"/>
          <w:sz w:val="28"/>
        </w:rPr>
        <w:t>.</w:t>
      </w: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14383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№3 </w:t>
      </w:r>
    </w:p>
    <w:sectPr w:rsidR="008322DD" w:rsidRPr="00F70905" w:rsidSect="009C6D30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DD"/>
    <w:rsid w:val="00011544"/>
    <w:rsid w:val="0051682B"/>
    <w:rsid w:val="006D7FCF"/>
    <w:rsid w:val="00814383"/>
    <w:rsid w:val="008322DD"/>
    <w:rsid w:val="009C6D30"/>
    <w:rsid w:val="00A27BA5"/>
    <w:rsid w:val="00F7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44"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7D7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2020-03-24T06:17:00Z</dcterms:created>
  <dcterms:modified xsi:type="dcterms:W3CDTF">2020-03-24T06:18:00Z</dcterms:modified>
</cp:coreProperties>
</file>