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537E" w14:textId="77777777" w:rsidR="00C60CD0" w:rsidRPr="00FA6149" w:rsidRDefault="00C60CD0" w:rsidP="00C6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№3</w:t>
      </w:r>
    </w:p>
    <w:p w14:paraId="103EE6A9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(fines).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14:paraId="5823ABB9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per se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B7FB93D" w14:textId="77777777" w:rsidR="00C60CD0" w:rsidRPr="00FA6149" w:rsidRDefault="00C60CD0" w:rsidP="00C60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фиксирования цены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price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fixing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14:paraId="1DF23B9E" w14:textId="77777777" w:rsidR="00C60CD0" w:rsidRPr="00FA6149" w:rsidRDefault="00C60CD0" w:rsidP="00C60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рынка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market sharing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14:paraId="70E5E9F2" w14:textId="77777777" w:rsidR="00C60CD0" w:rsidRPr="00FA6149" w:rsidRDefault="00C60CD0" w:rsidP="00C60C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14:paraId="3F4CE90B" w14:textId="77777777" w:rsidR="00C60CD0" w:rsidRPr="00FA6149" w:rsidRDefault="00C60CD0" w:rsidP="00C60CD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Антитраст: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Европейская комиссия наложила штрафы, всего на сумму 74 790 000€, на Sony, Fuji и Maxell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Sony, Fuji и Maxell контролировали цены как в плане роста, так и во всех остальных отношениях посредством ряда регулярных встреч и других незаконных контактов. Штраф Sony был увеличен на 30% за препятствия работе Комиссии во время локальных проверок его помещений. Штрафы Fuji и Maxell были уменьшены на 40% и 20% соответственно, потому что они сотрудничали с расследованием в соответствии с программой освобождения от ответственности (2002 Leniency Notice).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Комиссар ЕС по вопросам конкуренции Нели Крес (Neelie Kroes)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Комиссия начала расследование по собственной инициативе с обысков, выполненных в помещениях европейских филиалов Sony, Fuji и Maxell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Sony в содействии, служащий Sony отказался отвечать на устные вопросы, заданные инспекторами Комиссии, в то время как другой служащий Sony был уличен в измельчении документов во время осмотра. Fuji и, позднее, Maxell сотрудничали с Комиссией и представили дополнительные доказательства. Sony только признавал его причастность после получения Заявления протеста (см. MEMO/07/109).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Картель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Картель охватил два наиболее популярных во время нарушения профессиональных формата видеокассет: Betacam SP и Digital Betacam,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Sony, Fuji и Maxell,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Имеются доказательства, в которых подробно описываются одиннадцать встреч, во время которых Sony, Fuji и Maxell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Штраф*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Sony (Япония) None None 47 190 000 Fuji (Япония) 40% 8 800 000 13 200 000 Maxell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14:paraId="049515DA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14:paraId="66741147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14:paraId="0DC7BCC5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14:paraId="42A17B3A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01399C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14:paraId="720BF1D5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14:paraId="4F496241" w14:textId="77777777" w:rsidR="00C60CD0" w:rsidRPr="00FA6149" w:rsidRDefault="00C60CD0" w:rsidP="00C60C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lastRenderedPageBreak/>
        <w:t>Проведение настройки программы ослабления наказания в сфере антитраста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14:paraId="706905D7" w14:textId="4D4B246A" w:rsidR="00452D30" w:rsidRDefault="00C60CD0" w:rsidP="00C60CD0">
      <w:r w:rsidRPr="00FA6149">
        <w:rPr>
          <w:rFonts w:ascii="Times New Roman" w:hAnsi="Times New Roman" w:cs="Times New Roman"/>
          <w:sz w:val="24"/>
          <w:szCs w:val="24"/>
        </w:rPr>
        <w:t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бóльшую ясность в определение множества допустимого для поиска фирмами конкурентных преимуществ</w:t>
      </w:r>
    </w:p>
    <w:sectPr w:rsidR="004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E5"/>
    <w:rsid w:val="001132E5"/>
    <w:rsid w:val="00452D30"/>
    <w:rsid w:val="00C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1F30-C774-43C7-9E6B-CAB6FE29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Арутюнян</dc:creator>
  <cp:keywords/>
  <dc:description/>
  <cp:lastModifiedBy>Роберт Арутюнян</cp:lastModifiedBy>
  <cp:revision>2</cp:revision>
  <dcterms:created xsi:type="dcterms:W3CDTF">2020-06-29T15:35:00Z</dcterms:created>
  <dcterms:modified xsi:type="dcterms:W3CDTF">2020-06-29T15:35:00Z</dcterms:modified>
</cp:coreProperties>
</file>