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B6" w:rsidRPr="00536AB6" w:rsidRDefault="00536AB6" w:rsidP="00536AB6">
      <w:pPr>
        <w:rPr>
          <w:rFonts w:ascii="Times New Roman" w:hAnsi="Times New Roman" w:cs="Times New Roman"/>
          <w:b/>
          <w:sz w:val="28"/>
          <w:szCs w:val="28"/>
        </w:rPr>
      </w:pPr>
    </w:p>
    <w:p w:rsidR="00CE2FB3" w:rsidRPr="00536AB6" w:rsidRDefault="00CE2FB3" w:rsidP="00CE2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B6">
        <w:rPr>
          <w:rFonts w:ascii="Times New Roman" w:hAnsi="Times New Roman" w:cs="Times New Roman"/>
          <w:b/>
          <w:sz w:val="28"/>
          <w:szCs w:val="28"/>
        </w:rPr>
        <w:t>КЕЙС №3</w:t>
      </w:r>
    </w:p>
    <w:p w:rsidR="00CE2FB3" w:rsidRPr="00536AB6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антикартельных дел в Европейской комиссии проведите, отвечая на следующие вопросы:</w:t>
      </w: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Выберите случаи, по которым вынесено окончательное решение о наложении санкций (</w:t>
      </w:r>
      <w:proofErr w:type="spellStart"/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fines</w:t>
      </w:r>
      <w:proofErr w:type="spellEnd"/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CE2FB3" w:rsidRPr="002C452A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5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Соглашения между участниками рынка, признаются нелегальными </w:t>
      </w:r>
      <w:r w:rsidRPr="002C45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per se</w:t>
      </w:r>
      <w:r w:rsidRPr="002C45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(по букве закона) в законодательстве большинства стран</w:t>
      </w: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E2FB3" w:rsidRPr="002C452A" w:rsidRDefault="00CE2FB3" w:rsidP="00CE2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5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фиксирования цены (</w:t>
      </w:r>
      <w:r w:rsidRPr="002C45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price</w:t>
      </w:r>
      <w:r w:rsidRPr="002C45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Pr="002C45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fixing</w:t>
      </w:r>
      <w:r w:rsidRPr="002C45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).</w:t>
      </w: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:rsidR="00CE2FB3" w:rsidRPr="002C452A" w:rsidRDefault="00CE2FB3" w:rsidP="00CE2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C45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</w:t>
      </w:r>
      <w:proofErr w:type="gramEnd"/>
      <w:r w:rsidRPr="002C45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азделение рынка (</w:t>
      </w:r>
      <w:r w:rsidRPr="002C45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market sharing</w:t>
      </w:r>
      <w:r w:rsidRPr="002C45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);</w:t>
      </w: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Такое нарушение позволяет участникам  картеля разбить рынок на разные группы потребителей или географические зоны с целью закрепления за каждой фирмой определенной доли рынка</w:t>
      </w:r>
    </w:p>
    <w:p w:rsidR="002A1B9C" w:rsidRPr="002C452A" w:rsidRDefault="002A1B9C" w:rsidP="002A1B9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Ответ: </w:t>
      </w:r>
    </w:p>
    <w:p w:rsidR="002C452A" w:rsidRDefault="002A1B9C" w:rsidP="002A1B9C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36AB6">
        <w:rPr>
          <w:rFonts w:ascii="Times New Roman" w:hAnsi="Times New Roman" w:cs="Times New Roman"/>
          <w:color w:val="000000"/>
          <w:sz w:val="28"/>
          <w:szCs w:val="28"/>
        </w:rPr>
        <w:t>Решение Комиссии по делу производителей профессиональных видеокассет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Антитраст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: Штрафы Комиссии по делу производителей профессиональных 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видеокассет на сумму свыше €74 миллионов за создание картеля по фиксированию цен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Европейская комиссия наложила штрафы, всего на сумму 74 790 000€, на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между 1999 и 2002 годами,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контролировали 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цены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Leniency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Notice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>). Однако в данном случае освобождения от ответственности не было. Для расчета штрафов в данном деле Комиссия впервые применила новое Руководство 2006 (см. IP/06/857 и MEMO/06/256).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Комиссар ЕС по вопросам конкуренции Нели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Крес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Neelie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Kroes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) сказала: 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«Это решение содержит два предупреждения компаниям, участвующим в картельной деятельности: во-первых - Комиссия может эффективно преследовать картели 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суду даже без соглашения об освобождении от ответственности, и во-вторых, препятствия в антимонопольном расследовании Комиссии ведут к серьезным штрафам.»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Комиссия начала расследование по собственной инициативе с обысков, выполненных в помещениях европейских филиалов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в мае 2002.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Обыски оказались особенно успешными, поскольку во время них были обнаружены обширные доказательства деятельности картеля. Однако, в нарушении обязательств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в содействии, служащий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отказался отвечать на устные вопросы, заданные инспекторами Комиссии, в то время как другой служащий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был уличен в измельчении документов во время осмотра.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и, позднее,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сотрудничали с Комиссией и представили дополнительные доказательства.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только признавал его причастность после получения Заявления протеста (см. MEMO/07/109).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A1B9C" w:rsidRPr="00536AB6" w:rsidRDefault="002A1B9C" w:rsidP="002A1B9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hAnsi="Times New Roman" w:cs="Times New Roman"/>
          <w:color w:val="000000"/>
          <w:sz w:val="28"/>
          <w:szCs w:val="28"/>
        </w:rPr>
        <w:t>Картель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Картель</w:t>
      </w:r>
      <w:proofErr w:type="spellEnd"/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охватил два наиболее популярных во время нарушения профессиональных формата видеокассет: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Betacam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SP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Digital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Betacam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, ежегодные 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в 2001 составили порядка €115 миллионов на территории Европейской Экономической зоны (EEA). Основными покупателями профессиональных видеокассет являются телестанции и независимые производители телевизионных программ и рекламных роликов.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>, с объединенной долей больше чем 85% рынка профессиональных видеокассет, организовали три успешных раунда увеличения цены и стремились стабилизировать цены всякий раз, когда увеличение не было возможно. Они также регулярно контролировали выполнение ценовых соглашений.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Имеются доказательства, в которых подробно описываются одиннадцать встреч, во время которых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обсуждали и согласовывали цены и/или обменивались важной коммерческой информацией, а также постоянные контакты с целью контроля выполнения их картельных соглашений.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Штрафы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>то – первое антимонопольное решение Комиссии, в котором использовано Руководство по расчету штрафов 2006 (см. IP/06/857 и MEMO/06/256). Благодаря новому методу, штрафы лучше отражают полное экономическое значение нарушения, а также доли каждой вовлеченной компании.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Наименование и месторасположение ответчика Уменьшение штрафа в соответствии с Уведомлением о снисхождении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(%) Уменьшение штрафа в соответствии с Уведомлением о снисхождении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(€) Штраф*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(€)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(Япония)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None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None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47 190 000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(Япония) 40% 8 800 000 13 200 000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(Япония) 20% 3 600 000 14 400 000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>того 74 790 000 (*) Юридические лица в качестве ответчиков могут быть привлечены совместно и по отдельности по наложенным штрафам целиком или частично.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Действия в случае убытков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>юбой человек или фирма, которых затронуло анти-конкурентное поведение как описано в этом деле, могут вынести вопрос на рассмотрение судов Государств -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2A1B9C" w:rsidRPr="002C452A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Использовалась ли в ходе дела программа освобождения от ответственности (</w:t>
      </w: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Leniency Program</w:t>
      </w: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)? Оцените последствия применения </w:t>
      </w: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Leniency Program</w:t>
      </w: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картель.</w:t>
      </w:r>
    </w:p>
    <w:p w:rsidR="002A1B9C" w:rsidRPr="002C452A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</w:t>
      </w:r>
    </w:p>
    <w:p w:rsidR="002A1B9C" w:rsidRPr="002C452A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использовались </w:t>
      </w:r>
    </w:p>
    <w:p w:rsidR="00CE2FB3" w:rsidRPr="002C452A" w:rsidRDefault="00CE2FB3" w:rsidP="002C4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2A1B9C" w:rsidRPr="002C452A" w:rsidRDefault="002A1B9C" w:rsidP="002C4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Ответ: </w:t>
      </w:r>
    </w:p>
    <w:bookmarkEnd w:id="0"/>
    <w:p w:rsidR="002A1B9C" w:rsidRPr="00536AB6" w:rsidRDefault="002A1B9C" w:rsidP="002C452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6AB6">
        <w:rPr>
          <w:rFonts w:ascii="Times New Roman" w:hAnsi="Times New Roman" w:cs="Times New Roman"/>
          <w:sz w:val="28"/>
          <w:szCs w:val="28"/>
        </w:rPr>
        <w:t xml:space="preserve">Проведение настройки программы ослабления наказания в сфере </w:t>
      </w:r>
      <w:proofErr w:type="spellStart"/>
      <w:r w:rsidRPr="00536AB6">
        <w:rPr>
          <w:rFonts w:ascii="Times New Roman" w:hAnsi="Times New Roman" w:cs="Times New Roman"/>
          <w:sz w:val="28"/>
          <w:szCs w:val="28"/>
        </w:rPr>
        <w:t>антитраста</w:t>
      </w:r>
      <w:proofErr w:type="spellEnd"/>
      <w:r w:rsidRPr="00536AB6">
        <w:rPr>
          <w:rFonts w:ascii="Times New Roman" w:hAnsi="Times New Roman" w:cs="Times New Roman"/>
          <w:sz w:val="28"/>
          <w:szCs w:val="28"/>
        </w:rPr>
        <w:t xml:space="preserve"> имеет значение не только само по себе (как имеющее антикартельный эффект), но и как важный пример разработки программы деятельного раскаяния, применимой для других отраслей законодательства в свете поиска наилучшего из возможных сочетаний ошибок I и II рода.</w:t>
      </w:r>
      <w:proofErr w:type="gramEnd"/>
    </w:p>
    <w:p w:rsidR="002A1B9C" w:rsidRPr="00536AB6" w:rsidRDefault="002A1B9C" w:rsidP="002C4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hAnsi="Times New Roman" w:cs="Times New Roman"/>
          <w:sz w:val="28"/>
          <w:szCs w:val="28"/>
        </w:rPr>
        <w:t xml:space="preserve">В отношении картелей редко обсуждается вопрос о применении правила взвешенного подхода в отличие от запрета согласно букве закона. Вместе с тем это обстоятельство не дает оснований считать, что для экономического анализа, выходящего за рамки изучения эффектов соглашений, ограничивающих конкуренцию, нет места. В значительной мере это обусловлено необходимостью ослабления множества предпосылок — как явных, так и в еще большей степени имплицитных, — которые в исследованиях, посвященных проблематике создания и поддержания картелей, оставались без внимания. Такая ситуация формировала избыточно упрощенную картину и создавала благоприятную почву в первую очередь для ошибок I рода. Кроме того, реализация самого принципа запрета согласно букве закона в чистом виде проблематична ввиду необходимости установления факта соблюдения ряда условий, требующихся для квалификации взаимодействия участников рынка в терминах картеля. Одним из принципиальных как в теоретическом, так и практическом плане вопросов является определение оснований правовой квалификации различных эпизодов взаимодействия между участниками рынка как картеля. Для этого особое значение имеют результаты экономического </w:t>
      </w:r>
      <w:r w:rsidRPr="00536AB6">
        <w:rPr>
          <w:rFonts w:ascii="Times New Roman" w:hAnsi="Times New Roman" w:cs="Times New Roman"/>
          <w:sz w:val="28"/>
          <w:szCs w:val="28"/>
        </w:rPr>
        <w:lastRenderedPageBreak/>
        <w:t xml:space="preserve">анализа взаимодействия между продавцами, выступающие в качестве основания для установления и/или подтверждения юридических фактов. В этой связи перспективным является исследование картелей как гибридных форм институциональных соглашений, в которых коллективная адаптация не только совмещается с сохранением распределенных конечных прав и прав на остаточный доход в условиях неполных контрактов, но и выступает как частичный заменитель санкций, основанных на четкой и детальной спецификации правил функционирования картеля. Такой подход позволяет отличить работоспособный картель от фикции, а также полезный гибрид — от опасного для конкуренции и обеспечения динамической эффективности. Он позволяет внести </w:t>
      </w:r>
      <w:proofErr w:type="spellStart"/>
      <w:r w:rsidRPr="00536AB6">
        <w:rPr>
          <w:rFonts w:ascii="Times New Roman" w:hAnsi="Times New Roman" w:cs="Times New Roman"/>
          <w:sz w:val="28"/>
          <w:szCs w:val="28"/>
        </w:rPr>
        <w:t>бóльшую</w:t>
      </w:r>
      <w:proofErr w:type="spellEnd"/>
      <w:r w:rsidRPr="00536AB6">
        <w:rPr>
          <w:rFonts w:ascii="Times New Roman" w:hAnsi="Times New Roman" w:cs="Times New Roman"/>
          <w:sz w:val="28"/>
          <w:szCs w:val="28"/>
        </w:rPr>
        <w:t xml:space="preserve"> ясность в определение множества допустимого для поиска фирмами конкурентных преимуществ</w:t>
      </w:r>
    </w:p>
    <w:p w:rsidR="002A1B9C" w:rsidRPr="00536AB6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2FB3" w:rsidRPr="00536AB6" w:rsidRDefault="00CE2FB3" w:rsidP="00CE2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FB3" w:rsidRPr="00536AB6" w:rsidRDefault="00CE2FB3" w:rsidP="00CE2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B6">
        <w:rPr>
          <w:rFonts w:ascii="Times New Roman" w:hAnsi="Times New Roman" w:cs="Times New Roman"/>
          <w:b/>
          <w:sz w:val="28"/>
          <w:szCs w:val="28"/>
        </w:rPr>
        <w:t>КЕЙС №4</w:t>
      </w:r>
    </w:p>
    <w:p w:rsidR="002C452A" w:rsidRPr="002C452A" w:rsidRDefault="00CE2FB3" w:rsidP="002C4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Проведите анализ антикартельных дел в России, отвечая на следующие вопросы:</w:t>
      </w:r>
    </w:p>
    <w:p w:rsidR="00CE2FB3" w:rsidRPr="002C452A" w:rsidRDefault="00CE2FB3" w:rsidP="002C452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  Всю информацию по соглашениям оформите в виде таблицы.</w:t>
      </w:r>
      <w:proofErr w:type="gramEnd"/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Образец таблицы приведен:</w:t>
      </w:r>
    </w:p>
    <w:p w:rsidR="00CE2FB3" w:rsidRPr="002C452A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35"/>
      </w:tblGrid>
      <w:tr w:rsidR="002C452A" w:rsidRPr="002C452A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CE2FB3" w:rsidP="00CE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 w:type="textWrapping" w:clear="all"/>
            </w: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 w:type="textWrapping" w:clear="all"/>
            </w:r>
          </w:p>
          <w:p w:rsidR="00CE2FB3" w:rsidRPr="002C452A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дела, дата возбуждения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Например</w:t>
            </w: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 11/132 – 10 от 24.08.2010</w:t>
            </w:r>
          </w:p>
        </w:tc>
      </w:tr>
      <w:tr w:rsidR="002C452A" w:rsidRPr="002C452A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Статья Закона о защите конкуренции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 8 части 1 статьи 11 (созданию препятствий доступу на товарный рынок или выходу из товарного рынка другим хозяйствующим субъектам)</w:t>
            </w:r>
          </w:p>
        </w:tc>
      </w:tr>
      <w:tr w:rsidR="002C452A" w:rsidRPr="002C452A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возбуждения дела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A6149"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Нарушение антимонопольного законодательства</w:t>
            </w:r>
          </w:p>
        </w:tc>
      </w:tr>
      <w:tr w:rsidR="002C452A" w:rsidRPr="002C452A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участников в </w:t>
            </w: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картели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  <w:r w:rsidR="00FA6149"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участника</w:t>
            </w:r>
          </w:p>
        </w:tc>
      </w:tr>
      <w:tr w:rsidR="002C452A" w:rsidRPr="002C452A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Период длительности картеля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A6149"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Полгода </w:t>
            </w:r>
          </w:p>
        </w:tc>
      </w:tr>
      <w:tr w:rsidR="002C452A" w:rsidRPr="002C452A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A6149"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№34ОМ6799</w:t>
            </w:r>
          </w:p>
        </w:tc>
      </w:tr>
      <w:tr w:rsidR="002C452A" w:rsidRPr="002C452A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Вынесенные штрафы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2C452A" w:rsidRDefault="00FA6149" w:rsidP="00FA61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Запрет на осуществление деятельности</w:t>
            </w:r>
            <w:r w:rsidR="00CE2FB3" w:rsidRPr="002C45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CE2FB3" w:rsidRPr="002C452A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2FB3" w:rsidRPr="002C452A" w:rsidRDefault="00CE2FB3" w:rsidP="00FA61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2FB3" w:rsidRPr="002C452A" w:rsidRDefault="00CE2FB3" w:rsidP="00CE2F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E2FB3" w:rsidRPr="002C452A" w:rsidSect="002C4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67"/>
    <w:rsid w:val="002A1B9C"/>
    <w:rsid w:val="002C452A"/>
    <w:rsid w:val="00315494"/>
    <w:rsid w:val="00536AB6"/>
    <w:rsid w:val="00614A67"/>
    <w:rsid w:val="00844D4C"/>
    <w:rsid w:val="00B45E06"/>
    <w:rsid w:val="00CE2FB3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6">
    <w:name w:val="p66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FA6149"/>
  </w:style>
  <w:style w:type="paragraph" w:customStyle="1" w:styleId="p28">
    <w:name w:val="p2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FA6149"/>
  </w:style>
  <w:style w:type="paragraph" w:customStyle="1" w:styleId="p87">
    <w:name w:val="p8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6">
    <w:name w:val="p66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FA6149"/>
  </w:style>
  <w:style w:type="paragraph" w:customStyle="1" w:styleId="p28">
    <w:name w:val="p2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FA6149"/>
  </w:style>
  <w:style w:type="paragraph" w:customStyle="1" w:styleId="p87">
    <w:name w:val="p8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7FFE-8EB6-492D-B6CD-A31B738C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Милена Федотова</cp:lastModifiedBy>
  <cp:revision>3</cp:revision>
  <dcterms:created xsi:type="dcterms:W3CDTF">2020-06-30T05:42:00Z</dcterms:created>
  <dcterms:modified xsi:type="dcterms:W3CDTF">2020-06-30T05:53:00Z</dcterms:modified>
</cp:coreProperties>
</file>