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B3" w:rsidRPr="00FA6149" w:rsidRDefault="00CE2FB3" w:rsidP="00CE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№3</w:t>
      </w:r>
    </w:p>
    <w:p w:rsidR="00CE2FB3" w:rsidRPr="003C4B74" w:rsidRDefault="00CE2FB3" w:rsidP="003C4B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антикартельных дел в Европейской комиссии проведите, отвечая на следующие вопросы: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Выберите случаи, по которым вынесено окончательное решение о наложении санкций (</w:t>
      </w:r>
      <w:proofErr w:type="spellStart"/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fines</w:t>
      </w:r>
      <w:proofErr w:type="spellEnd"/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CE2FB3" w:rsidRPr="003C4B74" w:rsidRDefault="00CE2FB3" w:rsidP="003C4B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Соглашения между участниками рынка, признаются нелегальными 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per se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(по букве закона) в законодательстве большинства стран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2FB3" w:rsidRPr="003C4B74" w:rsidRDefault="00CE2FB3" w:rsidP="003C4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фиксирования</w:t>
      </w:r>
      <w:proofErr w:type="gramEnd"/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цены (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price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fixing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).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CE2FB3" w:rsidRPr="003C4B74" w:rsidRDefault="00CE2FB3" w:rsidP="003C4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разделение</w:t>
      </w:r>
      <w:proofErr w:type="gramEnd"/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рынка (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market sharing</w:t>
      </w:r>
      <w:r w:rsidRPr="003C4B7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);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2A1B9C" w:rsidRPr="003C4B74" w:rsidRDefault="002A1B9C" w:rsidP="003C4B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bookmarkEnd w:id="0"/>
    <w:p w:rsidR="002A1B9C" w:rsidRPr="003C4B74" w:rsidRDefault="002A1B9C" w:rsidP="003C4B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hAnsi="Times New Roman" w:cs="Times New Roman"/>
          <w:color w:val="000000"/>
          <w:sz w:val="24"/>
          <w:szCs w:val="24"/>
        </w:rPr>
        <w:t>Решение Комиссии по делу производителей профессиональных видеокассет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Антитраст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>: Штрафы Комиссии по делу производителей профессиональных видеокассет на сумму свыше €74 миллионов за создание картеля по фиксированию цен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Европейская комиссия наложила штрафы, всего на сумму 74 790 000€, на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Leniency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Notice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(см. IP/06/857 и MEMO/06/256).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Комиссар ЕС по вопросам конкуренции Нели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Крес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Neelie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Kroes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) сказала: «Это решение 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содержит два предупреждения компаниям, участвующим в картельной деятельности: во-первых - Комиссия может эффективно преследовать картели по суду даже без соглашения об освобождении от ответственности, и во-вторых, препятствия в антимонопольном расследовании Комиссии ведут к серьезным штрафам.»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Комиссия начала расследование по собственной инициативе с обысков, выполненных в помещениях европейских филиалов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в мае 2002. Обыски оказались особенно успешными, поскольку </w:t>
      </w:r>
      <w:proofErr w:type="gram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proofErr w:type="gram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них были обнаружены обширные доказательства деятельности картеля. Однако, в нарушении обязательств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в содействии, служащий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отказался отвечать на устные вопросы, заданные инспекторами Комиссии, в то время как другой служащий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был уличен в измельчении документов во время осмотра.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и, позднее,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сотрудничали с Комиссией и представили дополнительные доказательства.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только признавал его причастность после получения Заявления протеста (см. MEMO/07/109</w:t>
      </w:r>
      <w:proofErr w:type="gram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Картель</w:t>
      </w:r>
      <w:proofErr w:type="gramEnd"/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Картель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охватил два наиболее популярных во время нарушения профессиональных формата видеокассет: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Betacam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SP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Betacam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>, ежегодные продажи которых в 2001 составили порядка €115 миллионов на территории Европейской Экономической зоны (EEA). Основными покупателями профессиональных видеокассет являются телестанции и независимые производители телевизионных программ и рекламных роликов.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>, с объединенной долей больше чем 85% рынка профессиональных видеокассет, организовали три успешных раунда увеличения цены и стремились стабилизировать цены всякий раз, когда увеличение не было возможно. Они также регулярно контролировали выполнение ценовых соглашений.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Имеются доказательства, в которых подробно описываются одиннадцать встреч, во время которых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обсуждали и согласовывали цены и/или обменивались важной коммерческой информацией, а также постоянные контакты с целью контроля выполнения их картельных соглашений.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Штрафы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Это – первое антимонопольное решение Комиссии, в котором использовано Руководство по расчету штрафов 2006 (см. IP/06/857 и MEMO/06/256). Благодаря новому методу, штрафы лучше отражают полное экономическое значение нарушения, а также доли каждой вовлеченной компании.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и месторасположение ответчика Уменьшение штрафа в соответствии с Уведомлением о снисхождении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(%) Уменьшение штрафа в соответствии с Уведомлением о снисхождении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(€) Штраф*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(€)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(Япония)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47 190 000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(Япония) 40% 8 800 000 13 200 000 </w:t>
      </w:r>
      <w:proofErr w:type="spellStart"/>
      <w:r w:rsidRPr="003C4B74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3C4B74">
        <w:rPr>
          <w:rFonts w:ascii="Times New Roman" w:hAnsi="Times New Roman" w:cs="Times New Roman"/>
          <w:color w:val="000000"/>
          <w:sz w:val="24"/>
          <w:szCs w:val="24"/>
        </w:rPr>
        <w:t xml:space="preserve"> (Япония) 20% 3 600 000 14 400 000 Итого 74 790 000 (*) Юридические лица в качестве ответчиков могут быть привлечены совместно и по отдельности по наложенным штрафам целиком или частично.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Действия в случае убытков</w:t>
      </w:r>
      <w:r w:rsidRPr="003C4B74">
        <w:rPr>
          <w:rFonts w:ascii="Times New Roman" w:hAnsi="Times New Roman" w:cs="Times New Roman"/>
          <w:color w:val="000000"/>
          <w:sz w:val="24"/>
          <w:szCs w:val="24"/>
        </w:rPr>
        <w:br/>
        <w:t>Любой человек или фирма, которых затронуло анти-конкурентное поведение как описано в этом деле, могут вынести вопрос на рассмотрение судов Государств -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2A1B9C" w:rsidRPr="003C4B74" w:rsidRDefault="00CE2FB3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Использовалась ли в ходе дела программа освобождения от ответственности (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)? Оцените последствия применения 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картель.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использовались 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FB3" w:rsidRPr="003C4B74" w:rsidRDefault="00CE2FB3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 xml:space="preserve">Проведение настройки программы ослабления наказания в сфере </w:t>
      </w:r>
      <w:proofErr w:type="spellStart"/>
      <w:r w:rsidRPr="003C4B74">
        <w:rPr>
          <w:rFonts w:ascii="Times New Roman" w:hAnsi="Times New Roman" w:cs="Times New Roman"/>
          <w:sz w:val="24"/>
          <w:szCs w:val="24"/>
        </w:rPr>
        <w:t>антитраста</w:t>
      </w:r>
      <w:proofErr w:type="spellEnd"/>
      <w:r w:rsidRPr="003C4B74">
        <w:rPr>
          <w:rFonts w:ascii="Times New Roman" w:hAnsi="Times New Roman" w:cs="Times New Roman"/>
          <w:sz w:val="24"/>
          <w:szCs w:val="24"/>
        </w:rPr>
        <w:t xml:space="preserve">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</w:p>
    <w:p w:rsidR="002A1B9C" w:rsidRPr="003C4B74" w:rsidRDefault="002A1B9C" w:rsidP="003C4B7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B74">
        <w:rPr>
          <w:rFonts w:ascii="Times New Roman" w:hAnsi="Times New Roman" w:cs="Times New Roman"/>
          <w:sz w:val="24"/>
          <w:szCs w:val="24"/>
        </w:rPr>
        <w:t xml:space="preserve"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явных, так и </w:t>
      </w:r>
      <w:r w:rsidRPr="003C4B74">
        <w:rPr>
          <w:rFonts w:ascii="Times New Roman" w:hAnsi="Times New Roman" w:cs="Times New Roman"/>
          <w:sz w:val="24"/>
          <w:szCs w:val="24"/>
        </w:rPr>
        <w:lastRenderedPageBreak/>
        <w:t xml:space="preserve">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эффективности. Он позволяет внести </w:t>
      </w:r>
      <w:proofErr w:type="spellStart"/>
      <w:r w:rsidRPr="003C4B74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Pr="003C4B74">
        <w:rPr>
          <w:rFonts w:ascii="Times New Roman" w:hAnsi="Times New Roman" w:cs="Times New Roman"/>
          <w:sz w:val="24"/>
          <w:szCs w:val="24"/>
        </w:rPr>
        <w:t xml:space="preserve"> ясность в определение множества допустимого для поиска фирмами конкурентных преимуществ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FB3" w:rsidRPr="00FA6149" w:rsidRDefault="00CE2FB3" w:rsidP="00CE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FB3" w:rsidRPr="00FA6149" w:rsidRDefault="00CE2FB3" w:rsidP="00CE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№4</w:t>
      </w:r>
    </w:p>
    <w:p w:rsidR="003C4B74" w:rsidRPr="003C4B74" w:rsidRDefault="003C4B74" w:rsidP="003C4B74">
      <w:pPr>
        <w:shd w:val="clear" w:color="auto" w:fill="FFFFFF"/>
        <w:spacing w:after="15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:rsidR="003C4B74" w:rsidRPr="003C4B74" w:rsidRDefault="003C4B74" w:rsidP="003C4B74">
      <w:pPr>
        <w:shd w:val="clear" w:color="auto" w:fill="FFFFFF"/>
        <w:spacing w:after="15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Среди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</w:t>
      </w:r>
      <w:proofErr w:type="gramStart"/>
      <w:r w:rsidRPr="003C4B74">
        <w:rPr>
          <w:rFonts w:ascii="Times New Roman" w:eastAsia="Times New Roman" w:hAnsi="Times New Roman" w:cs="Times New Roman"/>
          <w:sz w:val="24"/>
          <w:szCs w:val="24"/>
          <w:lang w:eastAsia="ru-RU"/>
        </w:rPr>
        <w:t>);  Всю</w:t>
      </w:r>
      <w:proofErr w:type="gramEnd"/>
      <w:r w:rsidRPr="003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соглашениям оформите в виде таблицы. Образец таблицы приведен:</w:t>
      </w:r>
    </w:p>
    <w:tbl>
      <w:tblPr>
        <w:tblW w:w="994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0" w:line="360" w:lineRule="auto"/>
              <w:ind w:left="-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textWrapping" w:clear="all"/>
            </w: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Например</w:t>
            </w: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Нарушение антимонопольного законодательства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участника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Полгода 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№34ОМ6799</w:t>
            </w:r>
          </w:p>
        </w:tc>
      </w:tr>
      <w:tr w:rsidR="003C4B74" w:rsidRPr="003C4B74" w:rsidTr="00B2100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B74" w:rsidRPr="003C4B74" w:rsidRDefault="003C4B74" w:rsidP="003C4B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осуществление деятельности.</w:t>
            </w:r>
          </w:p>
        </w:tc>
      </w:tr>
    </w:tbl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>2). Использовалась ли в ходе дела программа освобождения от ответственности (ПОН)? Какие последствия применения ПОН на картель имели место.</w:t>
      </w: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>Да, использовалась.</w:t>
      </w: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>Если сговоры разделить на устойчивые и неустойчивые, то введение программы должно привести к снижению числа сговоров в первую очередь за счет той подгруппы, где и раньше поддержать такие соглашения было сложно</w:t>
      </w: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>3).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C4B74" w:rsidRPr="003C4B74" w:rsidRDefault="003C4B74" w:rsidP="003C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74">
        <w:rPr>
          <w:rFonts w:ascii="Times New Roman" w:hAnsi="Times New Roman" w:cs="Times New Roman"/>
          <w:sz w:val="24"/>
          <w:szCs w:val="24"/>
        </w:rPr>
        <w:t>Не все версии применения программы освобождения от наказания в России оказывают одинаковое воздействие на предотвращение факта как заключения сговора, так и его раскрытия. Правила получения полного освобождения, представленные в версии программы 2007 г. в России, не снизили стимулы участников сговора отказываться от таких соглашений. А вот более поздняя версия, введенная в 2009 г., наоборот, повысила стимулы к отклонению от участия в подобных соглашениях, снижая тем самым устойчивость сговора. Поэтому можно говорить о том, что даже в несовершенных юрисдикциях внедрение программы освобождения от наказания как разновидности программы поддержки деятельного раскаяния может иметь самостоятельное значение и быть достаточно эффективным инструментом против картельного благополучия.</w:t>
      </w:r>
    </w:p>
    <w:p w:rsidR="00CE2FB3" w:rsidRPr="003C4B74" w:rsidRDefault="00CE2FB3" w:rsidP="003C4B7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FB3" w:rsidRPr="003C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67"/>
    <w:rsid w:val="002A1B9C"/>
    <w:rsid w:val="00315494"/>
    <w:rsid w:val="003C4B74"/>
    <w:rsid w:val="00614A67"/>
    <w:rsid w:val="00844D4C"/>
    <w:rsid w:val="00CE2FB3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9BF0-4454-4D53-911E-45C71E0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6">
    <w:name w:val="p66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FA6149"/>
  </w:style>
  <w:style w:type="paragraph" w:customStyle="1" w:styleId="p28">
    <w:name w:val="p2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FA6149"/>
  </w:style>
  <w:style w:type="paragraph" w:customStyle="1" w:styleId="p87">
    <w:name w:val="p87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4EEA-6864-4E8A-B5D8-9018019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Антонова Полина Александровна</cp:lastModifiedBy>
  <cp:revision>2</cp:revision>
  <dcterms:created xsi:type="dcterms:W3CDTF">2020-06-30T10:35:00Z</dcterms:created>
  <dcterms:modified xsi:type="dcterms:W3CDTF">2020-06-30T10:35:00Z</dcterms:modified>
</cp:coreProperties>
</file>