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r w:rsidRPr="00FA6149">
        <w:rPr>
          <w:b/>
          <w:bCs/>
          <w:color w:val="333333"/>
        </w:rPr>
        <w:t>Домашнее задание №1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Pr="00FA6149">
        <w:rPr>
          <w:color w:val="333333"/>
          <w:shd w:val="clear" w:color="auto" w:fill="FFFF00"/>
        </w:rPr>
        <w:t>TC </w:t>
      </w:r>
      <w:r w:rsidRPr="00FA6149">
        <w:rPr>
          <w:color w:val="333333"/>
        </w:rPr>
        <w:t>фирмы конкурентного рынка равны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постоянные издержки - FС/Q = 25/Q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844D4C" w:rsidRPr="00FA6149" w:rsidRDefault="00844D4C">
      <w:pPr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№3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антикартельных дел в Европейской комиссии проведите, отвечая на следующие вопросы: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fines</w:t>
      </w:r>
      <w:proofErr w:type="spell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per se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фиксирования цены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price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fixing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рынка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market sharing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Антитраст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Leniency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Notice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Крес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Neelie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Kroes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содействии,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и, позднее,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признавал его причастность после получения Заявления протеста (см. MEMO/07/109).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Картель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Картель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SP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Штраф*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(€)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47 190 000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40% 8 800 000 13 200 000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настройки программы ослабления наказания в сфере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Статья Закона о защите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пункт 8 части 1 статьи 11 (созданию препятствий доступу на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товарный рынок или выходу из товарного рынка другим хозяйствующим субъектам)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антимонопольного законодательства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участника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Полгода 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№34ОМ6799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</w:t>
            </w:r>
            <w:r w:rsidR="00CE2FB3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CE2FB3" w:rsidRPr="00FA6149" w:rsidRDefault="00CE2FB3" w:rsidP="00CE2FB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цене 5 рублей объем спроса на товар составляет 20 единиц, а при цене 40 рублей- 10 единиц. Можно ли сказать что в данном диапазоне цен спрос на товар является эластичным.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FA6149" w:rsidRPr="00FA6149" w:rsidRDefault="00FA6149" w:rsidP="00FA6149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FA6149" w:rsidRPr="00FA6149" w:rsidTr="00FA614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FA6149" w:rsidRPr="00FA6149" w:rsidTr="00FA614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6149" w:rsidRPr="00FA6149" w:rsidTr="00FA614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149" w:rsidRPr="00FA6149" w:rsidRDefault="00FA6149" w:rsidP="00FA6149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FB3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7"/>
    <w:rsid w:val="002A1B9C"/>
    <w:rsid w:val="00315494"/>
    <w:rsid w:val="00614A67"/>
    <w:rsid w:val="00844D4C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0368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743C-3127-497C-8F17-9E3CFEBD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SONY</cp:lastModifiedBy>
  <cp:revision>4</cp:revision>
  <dcterms:created xsi:type="dcterms:W3CDTF">2020-06-24T07:15:00Z</dcterms:created>
  <dcterms:modified xsi:type="dcterms:W3CDTF">2020-06-28T09:20:00Z</dcterms:modified>
</cp:coreProperties>
</file>