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r w:rsidRPr="00FA6149">
        <w:rPr>
          <w:b/>
          <w:bCs/>
          <w:color w:val="333333"/>
        </w:rPr>
        <w:t>Домашнее задание №1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Совокупные издержки </w:t>
      </w:r>
      <w:r w:rsidRPr="00FA6149">
        <w:rPr>
          <w:color w:val="333333"/>
          <w:shd w:val="clear" w:color="auto" w:fill="FFFF00"/>
        </w:rPr>
        <w:t>TC </w:t>
      </w:r>
      <w:r w:rsidRPr="00FA6149">
        <w:rPr>
          <w:color w:val="333333"/>
        </w:rPr>
        <w:t>фирмы конкурентного рынка равны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149">
        <w:rPr>
          <w:noProof/>
          <w:color w:val="333333"/>
        </w:rPr>
        <w:drawing>
          <wp:inline distT="0" distB="0" distL="0" distR="0">
            <wp:extent cx="2695575" cy="352425"/>
            <wp:effectExtent l="0" t="0" r="9525" b="9525"/>
            <wp:docPr id="1" name="Рисунок 1" descr="Формула из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издерж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A6149">
        <w:rPr>
          <w:color w:val="333333"/>
        </w:rPr>
        <w:t> 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Известно, что конкурентная цена товара составляет 50 руб.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b/>
          <w:bCs/>
          <w:color w:val="333333"/>
          <w:u w:val="single"/>
        </w:rPr>
        <w:t>Вопросы:</w:t>
      </w: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1.Перечислите все виды издержек (какие возможны).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Ответ: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переменные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постоянные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переменные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постоянные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A6149">
        <w:rPr>
          <w:color w:val="000000"/>
        </w:rPr>
        <w:t>средние общие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000000"/>
        </w:rPr>
        <w:t>предельные издержки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 xml:space="preserve">2.Какое количество товара будет производить фирма </w:t>
      </w:r>
      <w:proofErr w:type="spellStart"/>
      <w:r w:rsidRPr="00FA6149">
        <w:rPr>
          <w:color w:val="333333"/>
        </w:rPr>
        <w:t>максимизирующая</w:t>
      </w:r>
      <w:proofErr w:type="spellEnd"/>
      <w:r w:rsidRPr="00FA6149">
        <w:rPr>
          <w:color w:val="333333"/>
        </w:rPr>
        <w:t xml:space="preserve"> прибыль?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 xml:space="preserve">Ответ: 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 издержки - VС = ТС - FС = 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+ 5Q;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издержки - FС = </w:t>
      </w:r>
      <w:proofErr w:type="spellStart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</w:t>
      </w:r>
      <w:proofErr w:type="spellEnd"/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25;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переменные издержки - АVС = VС/Q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+ 5Q)/Q = Q + 5;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постоянные издержки - FС/Q = 25/Q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общие издержки - АС = ТС/Q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+ 25)/Q = Q + 5 + 25/Q;</w:t>
      </w:r>
    </w:p>
    <w:p w:rsidR="002A1B9C" w:rsidRPr="002A1B9C" w:rsidRDefault="002A1B9C" w:rsidP="002A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издержки - МС = (Q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+ 5Q + 25)' = 2Q + 5.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3.Напишите функцию предложения фирмы.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6"/>
        <w:gridCol w:w="1716"/>
        <w:gridCol w:w="1866"/>
        <w:gridCol w:w="1733"/>
        <w:gridCol w:w="1644"/>
      </w:tblGrid>
      <w:tr w:rsidR="002A1B9C" w:rsidRPr="002A1B9C" w:rsidTr="002A1B9C">
        <w:trPr>
          <w:gridAfter w:val="2"/>
          <w:wAfter w:w="403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 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ТR/Q = 1250/25 = 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= ТR/Q = 1320/33 = 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продаж, тыс. шт.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= ТR/P = 2100/30 = 70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</w:t>
            </w:r>
          </w:p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ТR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+ 250 = 1250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ТR = TC +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2000 + 100 = 2100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FC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FC = TC – VC = 2000 – 1800 = 200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VC = TC – FC = 1200 – 200 = 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издержки, 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 = VC+ FC = 800 + 200 = 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TC = ТR –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1320 – 120 = 1200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</w:t>
            </w:r>
          </w:p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r • ТС =</w:t>
            </w:r>
          </w:p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• 2000 = 100</w:t>
            </w:r>
          </w:p>
        </w:tc>
      </w:tr>
      <w:tr w:rsidR="002A1B9C" w:rsidRPr="002A1B9C" w:rsidTr="002A1B9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по издержкам, %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250/1000 = 0,25 или 25%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= </w:t>
            </w:r>
            <w:proofErr w:type="spellStart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proofErr w:type="spellEnd"/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/ТС = 120/1200 = 0,1 или 10%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B9C" w:rsidRPr="002A1B9C" w:rsidRDefault="002A1B9C" w:rsidP="002A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4.Если цена единицы товара возрастет до 100 руб., что произойдет с этой отраслью?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Отрасль пойдет на спад</w:t>
      </w: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CE2FB3" w:rsidRPr="00FA6149" w:rsidRDefault="00CE2FB3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A6149">
        <w:rPr>
          <w:color w:val="333333"/>
        </w:rPr>
        <w:t>5. К каким рыночным структурам принадлежат  следующие отрасли 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Отрасль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Рыночная структура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Банковский сектор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Нефтепереработка 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Пищевая промышленность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Монополистическая конкуренция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Электроэнергетика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Естественная монополия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парикмахеров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 xml:space="preserve">Совершенная конкуренция </w:t>
            </w:r>
          </w:p>
        </w:tc>
      </w:tr>
      <w:tr w:rsidR="002A1B9C" w:rsidRPr="00FA6149" w:rsidTr="002A1B9C">
        <w:tc>
          <w:tcPr>
            <w:tcW w:w="4785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FA6149">
              <w:rPr>
                <w:color w:val="333333"/>
              </w:rPr>
              <w:t>Услуги доступа в интернет</w:t>
            </w:r>
          </w:p>
        </w:tc>
        <w:tc>
          <w:tcPr>
            <w:tcW w:w="4786" w:type="dxa"/>
          </w:tcPr>
          <w:p w:rsidR="002A1B9C" w:rsidRPr="00FA6149" w:rsidRDefault="002A1B9C" w:rsidP="00CE2FB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FA6149">
              <w:rPr>
                <w:color w:val="333333"/>
              </w:rPr>
              <w:t>Олигопольный</w:t>
            </w:r>
            <w:proofErr w:type="spellEnd"/>
            <w:r w:rsidRPr="00FA6149">
              <w:rPr>
                <w:color w:val="333333"/>
              </w:rPr>
              <w:t xml:space="preserve"> рынок</w:t>
            </w:r>
          </w:p>
        </w:tc>
      </w:tr>
    </w:tbl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2A1B9C" w:rsidRPr="00FA6149" w:rsidRDefault="002A1B9C" w:rsidP="00CE2F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844D4C" w:rsidRPr="00FA6149" w:rsidRDefault="00844D4C">
      <w:pPr>
        <w:rPr>
          <w:rFonts w:ascii="Times New Roman" w:hAnsi="Times New Roman" w:cs="Times New Roman"/>
          <w:sz w:val="24"/>
          <w:szCs w:val="24"/>
        </w:rPr>
      </w:pPr>
    </w:p>
    <w:p w:rsidR="00CE2FB3" w:rsidRPr="00FA6149" w:rsidRDefault="00CE2FB3" w:rsidP="00CE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№3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антикартельных дел в Европейской комиссии проведите, отвечая на следующие вопросы: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Выберите случаи, по которым вынесено окончательное решение о наложении санкций (</w:t>
      </w:r>
      <w:proofErr w:type="spellStart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fines</w:t>
      </w:r>
      <w:proofErr w:type="spellEnd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Определите отрасль, тип нарушения (список нарушений приведен ниже), число ответчиков, период рассмотрения, размер штрафа и принцип, по которому этот штраф вводился.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Соглашения между участниками рынка, признаются нелегальными 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per se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 букве закона) в законодательстве большинства стран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2FB3" w:rsidRPr="00FA6149" w:rsidRDefault="00CE2FB3" w:rsidP="00CE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фиксирования цены (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price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fixing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самым жестким нарушением конкурентных правил; Нарушение заключается в повышении цены выше конкурентного уровня с целью получения большей прибыли в условиях картеля.</w:t>
      </w:r>
    </w:p>
    <w:p w:rsidR="00CE2FB3" w:rsidRPr="00FA6149" w:rsidRDefault="00CE2FB3" w:rsidP="00CE2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разделение рынка (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market sharing</w:t>
      </w:r>
      <w:r w:rsidRPr="00FA61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);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Такое нарушение позволяет участникам  картеля разбить рынок на разные группы потребителей или географические зоны с целью закрепления за каждой фирмой определенной доли рынка</w:t>
      </w:r>
    </w:p>
    <w:p w:rsidR="002A1B9C" w:rsidRPr="00FA6149" w:rsidRDefault="002A1B9C" w:rsidP="002A1B9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p w:rsidR="002A1B9C" w:rsidRPr="00FA6149" w:rsidRDefault="002A1B9C" w:rsidP="002A1B9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hAnsi="Times New Roman" w:cs="Times New Roman"/>
          <w:color w:val="000000"/>
          <w:sz w:val="24"/>
          <w:szCs w:val="24"/>
        </w:rPr>
        <w:t>Решение Комиссии по делу производителей профессиональных видеокассет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Антитраст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>: Штрафы Комиссии по делу производителей профессиональных видеокассет на сумму свыше €74 миллионов за создание картеля по фиксированию цен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Европейская комиссия наложила штрафы, всего на сумму 74 790 000€, на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за фиксирование цен на рынке продаж профессиональных видеокассет покупателям Европы в нарушении Соглашения EC о запрете на картели и другие действия по ограничению рыночных отношений (Статья 81). В период между 1999 и 2002 годами,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контролировали цены как в плане роста, так и во всех остальных отношениях посредством ряда регулярных встреч и других незаконных контактов. Штраф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был увеличен на 30% за препятствия работе Комиссии во время локальных проверок его помещений. Штрафы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были уменьшены на 40% и 20% соответственно, потому что они сотрудничали с расследованием в соответствии с программой освобождения от ответственности (2002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Leniency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Notice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>). Однако в данном случае освобождения от ответственности не было. Для расчета штрафов в данном деле Комиссия впервые применила новое Руководство 2006 (см. IP/06/857 и MEMO/06/256).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Комиссар ЕС по вопросам конкуренции Нели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Крес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Neelie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Kroes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>) сказала: «Это решение содержит два предупреждения компаниям, участвующим в картельной деятельности: во-первых - Комиссия может эффективно преследовать картели по суду даже без соглашения об освобождении от ответственности, и во-вторых, препятствия в антимонопольном расследовании Комиссии ведут к серьезным штрафам.»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Комиссия начала расследование по собственной инициативе с обысков, выполненных в помещениях европейских филиалов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в мае 2002. Обыски оказались особенно успешными, поскольку во время них были обнаружены обширные доказательства деятельности картеля. Однако, в нарушении обязательств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в содействии, служащий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отказался отвечать на устные вопросы, заданные инспекторами Комиссии, в то время как другой служащий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был уличен в измельчении документов во время осмотра.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и, позднее,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сотрудничали с Комиссией и представили дополнительные доказательства.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только признавал его причастность после получения Заявления протеста (см. MEMO/07/109).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Картель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Картель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охватил два наиболее популярных во время нарушения профессиональных формата видеокассет: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Betacam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SP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Betacam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>, ежегодные продажи которых в 2001 составили порядка €115 миллионов на территории Европейской Экономической зоны (EEA). Основными покупателями профессиональных видеокассет являются телестанции и независимые производители телевизионных программ и рекламных роликов.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>, с объединенной долей больше чем 85% рынка профессиональных видеокассет, организовали три успешных раунда увеличения цены и стремились стабилизировать цены всякий раз, когда увеличение не было возможно. Они также регулярно контролировали выполнение ценовых соглашений.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Имеются доказательства, в которых подробно описываются одиннадцать встреч, во время которых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обсуждали и согласовывали цены и/или обменивались важной коммерческой информацией, а также постоянные контакты с целью контроля выполнения их картельных соглашений.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Штрафы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Это – первое антимонопольное решение Комиссии, в котором использовано Руководство по расчету штрафов 2006 (см. IP/06/857 и MEMO/06/256). Благодаря новому методу, штрафы лучше отражают полное экономическое значение нарушения, а также доли каждой вовлеченной компании.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и месторасположение ответчика Уменьшение штрафа в соответствии с Уведомлением о снисхождении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(%) Уменьшение штрафа в соответствии с Уведомлением о снисхождении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(€) Штраф*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(€)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(Япония)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None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47 190 000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Fuji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(Япония) 40% 8 800 000 13 200 000 </w:t>
      </w:r>
      <w:proofErr w:type="spellStart"/>
      <w:r w:rsidRPr="00FA6149">
        <w:rPr>
          <w:rFonts w:ascii="Times New Roman" w:hAnsi="Times New Roman" w:cs="Times New Roman"/>
          <w:color w:val="000000"/>
          <w:sz w:val="24"/>
          <w:szCs w:val="24"/>
        </w:rPr>
        <w:t>Maxell</w:t>
      </w:r>
      <w:proofErr w:type="spellEnd"/>
      <w:r w:rsidRPr="00FA6149">
        <w:rPr>
          <w:rFonts w:ascii="Times New Roman" w:hAnsi="Times New Roman" w:cs="Times New Roman"/>
          <w:color w:val="000000"/>
          <w:sz w:val="24"/>
          <w:szCs w:val="24"/>
        </w:rPr>
        <w:t xml:space="preserve"> (Япония) 20% 3 600 000 14 400 000 Итого 74 790 000 (*) Юридические лица в качестве ответчиков могут быть привлечены совместно и по отдельности по наложенным штрафам целиком или частично.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Действия в случае убытков</w:t>
      </w:r>
      <w:r w:rsidRPr="00FA6149">
        <w:rPr>
          <w:rFonts w:ascii="Times New Roman" w:hAnsi="Times New Roman" w:cs="Times New Roman"/>
          <w:color w:val="000000"/>
          <w:sz w:val="24"/>
          <w:szCs w:val="24"/>
        </w:rPr>
        <w:br/>
        <w:t>Любой человек или фирма, которых затронуло анти-конкурентное поведение как описано в этом деле, могут вынести вопрос на рассмотрение судов Государств - членов и истребовать убытки, представляя элементы опубликованного решения как доказательство, что поведение имело место и было незаконно. Несмотря на то, что Комиссия оштрафовала заинтересованные компании, убытки можно востребовать без уменьшения из-за штрафа Комиссии.</w:t>
      </w:r>
    </w:p>
    <w:p w:rsidR="002A1B9C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Использовалась ли в ходе дела программа освобождения от ответственности (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)? Оцените последствия применения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Leniency Program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картель.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использовались 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Подготовьте гипотезы о том, почему картель стал возможен на данном рынке (привлекая дополнительную информацию о рынке через Интернет). Представьте перечень индикаторов, которые могли бы подтвердить Ваши гипотезы.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Ответ: 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настройки программы ослабления наказания в сфере </w:t>
      </w:r>
      <w:proofErr w:type="spellStart"/>
      <w:r w:rsidRPr="00FA6149">
        <w:rPr>
          <w:rFonts w:ascii="Times New Roman" w:hAnsi="Times New Roman" w:cs="Times New Roman"/>
          <w:sz w:val="24"/>
          <w:szCs w:val="24"/>
        </w:rPr>
        <w:t>антитраста</w:t>
      </w:r>
      <w:proofErr w:type="spellEnd"/>
      <w:r w:rsidRPr="00FA6149">
        <w:rPr>
          <w:rFonts w:ascii="Times New Roman" w:hAnsi="Times New Roman" w:cs="Times New Roman"/>
          <w:sz w:val="24"/>
          <w:szCs w:val="24"/>
        </w:rPr>
        <w:t xml:space="preserve"> имеет значение не только само по себе (как имеющее антикартельный эффект), но и как важный пример разработки программы деятельного раскаяния, применимой для других отраслей законодательства в свете поиска наилучшего из возможных сочетаний ошибок I и II рода.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В отношении картелей редко обсуждается вопрос о применении правила взвешенного подхода в отличие от запрета согласно букве закона. Вместе с тем это обстоятельство не дает оснований считать, что для экономического анализа, выходящего за рамки изучения эффектов соглашений, ограничивающих конкуренцию, нет места. В значительной мере это обусловлено необходимостью ослабления множества предпосылок — как явных, так и в еще большей степени имплицитных, — которые в исследованиях, посвященных проблематике создания и поддержания картелей, оставались без внимания. Такая ситуация формировала избыточно упрощенную картину и создавала благоприятную почву в первую очередь для ошибок I рода. Кроме того, реализация самого принципа запрета согласно букве закона в чистом виде проблематична ввиду необходимости установления факта соблюдения ряда условий, требующихся для квалификации взаимодействия участников рынка в терминах картеля. Одним из принципиальных как в теоретическом, так и практическом плане вопросов является определение оснований правовой квалификации различных эпизодов взаимодействия между участниками рынка как картеля. Для этого особое значение имеют результаты экономического анализа взаимодействия между продавцами, выступающие в качестве основания для установления и/или подтверждения юридических фактов. В этой связи перспективным является исследование картелей как гибридных форм институциональных соглашений, в которых коллективная адаптация не только совмещается с сохранением распределенных конечных прав и прав на остаточный доход в условиях неполных контрактов, но и выступает как частичный заменитель санкций, основанных на четкой и детальной спецификации правил функционирования картеля. Такой подход позволяет отличить работоспособный картель от фикции, а также полезный гибрид — от опасного для конкуренции и обеспечения динамической эффективности. Он позволяет внести </w:t>
      </w:r>
      <w:proofErr w:type="spellStart"/>
      <w:r w:rsidRPr="00FA6149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Pr="00FA6149">
        <w:rPr>
          <w:rFonts w:ascii="Times New Roman" w:hAnsi="Times New Roman" w:cs="Times New Roman"/>
          <w:sz w:val="24"/>
          <w:szCs w:val="24"/>
        </w:rPr>
        <w:t xml:space="preserve"> ясность в определение множества допустимого для поиска фирмами конкурентных преимуществ</w:t>
      </w:r>
    </w:p>
    <w:p w:rsidR="002A1B9C" w:rsidRPr="00FA6149" w:rsidRDefault="002A1B9C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FB3" w:rsidRPr="00FA6149" w:rsidRDefault="00CE2FB3" w:rsidP="00CE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FB3" w:rsidRPr="00FA6149" w:rsidRDefault="00CE2FB3" w:rsidP="00CE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№4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(1)Среди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 Образец таблицы приведен:</w:t>
      </w:r>
    </w:p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 w:type="textWrapping" w:clear="all"/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 w:type="textWrapping" w:clear="all"/>
            </w:r>
          </w:p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Например</w:t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Статья Закона о защите </w:t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пункт 8 части 1 статьи 11 (созданию препятствий доступу на </w:t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товарный рынок или выходу из товарного рынка другим хозяйствующим субъектам)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A6149"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A6149"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участника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A6149"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Полгода 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A6149"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№34ОМ6799</w:t>
            </w:r>
          </w:p>
        </w:tc>
      </w:tr>
      <w:tr w:rsidR="00CE2FB3" w:rsidRPr="00FA6149" w:rsidTr="00CE2FB3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CE2FB3" w:rsidP="00CE2F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FB3" w:rsidRPr="00FA6149" w:rsidRDefault="00FA6149" w:rsidP="00FA61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 на осуществление деятельности</w:t>
            </w:r>
            <w:r w:rsidR="00CE2FB3"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CE2FB3" w:rsidRPr="00FA6149" w:rsidRDefault="00CE2FB3" w:rsidP="00CE2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2FB3" w:rsidRPr="00FA6149" w:rsidRDefault="00CE2FB3" w:rsidP="00FA6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2FB3" w:rsidRPr="00FA6149" w:rsidRDefault="00CE2FB3" w:rsidP="00CE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FB3" w:rsidRPr="00FA6149" w:rsidRDefault="00CE2FB3" w:rsidP="00CE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FB3" w:rsidRPr="00FA6149" w:rsidRDefault="00CE2FB3" w:rsidP="00CE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Домашнее задание №2</w:t>
      </w:r>
    </w:p>
    <w:p w:rsidR="00CE2FB3" w:rsidRPr="00FA6149" w:rsidRDefault="00CE2FB3" w:rsidP="00CE2FB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ценовой эластичности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спроса :</w:t>
      </w:r>
    </w:p>
    <w:p w:rsidR="00CE2FB3" w:rsidRPr="00FA6149" w:rsidRDefault="00CE2FB3" w:rsidP="00CE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2FB3" w:rsidRPr="00FA6149" w:rsidRDefault="00CE2FB3" w:rsidP="00CE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66875"/>
            <wp:effectExtent l="0" t="0" r="0" b="9525"/>
            <wp:docPr id="2" name="Рисунок 2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E2FB3" w:rsidRPr="00FA6149" w:rsidRDefault="00CE2FB3" w:rsidP="00CE2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CE2FB3" w:rsidRPr="00FA6149" w:rsidRDefault="00CE2FB3" w:rsidP="00CE2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цене 5 рублей объем спроса на товар составляет 20 единиц, а при цене 40 рублей- 10 единиц. Можно ли сказать что в данном диапазоне цен спрос на товар является эластичным.</w:t>
      </w:r>
    </w:p>
    <w:p w:rsidR="00FA6149" w:rsidRPr="00FA6149" w:rsidRDefault="00FA6149" w:rsidP="00CE2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Ответ:</w:t>
      </w:r>
    </w:p>
    <w:p w:rsidR="00FA6149" w:rsidRPr="00FA6149" w:rsidRDefault="00FA6149" w:rsidP="00FA6149">
      <w:pPr>
        <w:spacing w:before="3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выручку продавца (TR) можно определить 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5"/>
        <w:gridCol w:w="435"/>
        <w:gridCol w:w="195"/>
        <w:gridCol w:w="435"/>
        <w:gridCol w:w="165"/>
        <w:gridCol w:w="300"/>
        <w:gridCol w:w="960"/>
        <w:gridCol w:w="195"/>
        <w:gridCol w:w="450"/>
        <w:gridCol w:w="180"/>
        <w:gridCol w:w="435"/>
        <w:gridCol w:w="165"/>
        <w:gridCol w:w="300"/>
        <w:gridCol w:w="360"/>
        <w:gridCol w:w="795"/>
      </w:tblGrid>
      <w:tr w:rsidR="00FA6149" w:rsidRPr="00FA6149" w:rsidTr="00FA6149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149" w:rsidRPr="00FA6149" w:rsidTr="00FA6149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èëè</w:t>
            </w:r>
            <w:proofErr w:type="spellEnd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(4.5)</w:t>
            </w:r>
          </w:p>
        </w:tc>
      </w:tr>
      <w:tr w:rsidR="00FA6149" w:rsidRPr="00FA6149" w:rsidTr="00FA6149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FA6149" w:rsidRPr="00FA6149" w:rsidRDefault="00FA6149" w:rsidP="00FA6149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149" w:rsidRPr="00FA6149" w:rsidTr="00FA6149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:rsidR="00FA6149" w:rsidRPr="00FA6149" w:rsidRDefault="00FA6149" w:rsidP="00FA6149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FA6149" w:rsidRPr="00FA6149" w:rsidRDefault="00FA6149" w:rsidP="00FA6149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6149" w:rsidRPr="00FA6149" w:rsidRDefault="00FA6149" w:rsidP="00F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:rsidR="00FA6149" w:rsidRPr="00FA6149" w:rsidRDefault="00FA6149" w:rsidP="00FA614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149" w:rsidRPr="00FA6149" w:rsidTr="00FA6149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FA6149" w:rsidRPr="00FA6149" w:rsidRDefault="00FA6149" w:rsidP="00FA61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:rsidR="00FA6149" w:rsidRPr="00FA6149" w:rsidRDefault="00FA6149" w:rsidP="00FA614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6149" w:rsidRPr="00FA6149" w:rsidRDefault="00FA6149" w:rsidP="00FA6149">
      <w:pPr>
        <w:spacing w:before="9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:rsidR="00FA6149" w:rsidRPr="00FA6149" w:rsidRDefault="00FA6149" w:rsidP="00CE2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CE2FB3" w:rsidRPr="00FA6149" w:rsidRDefault="00CE2FB3" w:rsidP="00CE2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FB3" w:rsidRPr="00F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7"/>
    <w:rsid w:val="002A1B9C"/>
    <w:rsid w:val="00315494"/>
    <w:rsid w:val="00614A67"/>
    <w:rsid w:val="00844D4C"/>
    <w:rsid w:val="00CE2FB3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368"/>
  <w15:docId w15:val="{6ADF9BF0-4454-4D53-911E-45C71E0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6">
    <w:name w:val="p66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FA6149"/>
  </w:style>
  <w:style w:type="paragraph" w:customStyle="1" w:styleId="p28">
    <w:name w:val="p2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FA6149"/>
  </w:style>
  <w:style w:type="paragraph" w:customStyle="1" w:styleId="p87">
    <w:name w:val="p87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F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743C-3127-497C-8F17-9E3CFEBD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SONY</cp:lastModifiedBy>
  <cp:revision>4</cp:revision>
  <dcterms:created xsi:type="dcterms:W3CDTF">2020-06-24T07:15:00Z</dcterms:created>
  <dcterms:modified xsi:type="dcterms:W3CDTF">2020-06-28T09:20:00Z</dcterms:modified>
</cp:coreProperties>
</file>