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1D" w:rsidRPr="0057381D" w:rsidRDefault="0057381D" w:rsidP="0057381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38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Домашнее задание №2</w:t>
      </w:r>
    </w:p>
    <w:p w:rsidR="0057381D" w:rsidRPr="0057381D" w:rsidRDefault="0057381D" w:rsidP="0057381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tt-RU"/>
        </w:rPr>
      </w:pPr>
      <w:r w:rsidRPr="0057381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tt-RU"/>
        </w:rPr>
        <w:t>Дано:</w:t>
      </w:r>
    </w:p>
    <w:p w:rsidR="0057381D" w:rsidRPr="0057381D" w:rsidRDefault="0057381D" w:rsidP="0057381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38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цене 5 рублей объем спроса на товар составляет 20 единиц, а при цене 40 рублей- 10 единиц. Можно ли сказать,  что в данном диапазоне цен спрос на товар является эластичным.</w:t>
      </w:r>
    </w:p>
    <w:p w:rsidR="0057381D" w:rsidRPr="0057381D" w:rsidRDefault="0057381D" w:rsidP="0057381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tt-RU"/>
        </w:rPr>
      </w:pPr>
      <w:r w:rsidRPr="0057381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tt-RU"/>
        </w:rPr>
        <w:t>Решение:</w:t>
      </w:r>
    </w:p>
    <w:p w:rsidR="0057381D" w:rsidRPr="0057381D" w:rsidRDefault="0057381D" w:rsidP="0057381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7381D" w:rsidRPr="0057381D" w:rsidSect="00F70905"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57381D" w:rsidRPr="0057381D" w:rsidRDefault="0057381D" w:rsidP="0057381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738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E</w:t>
      </w:r>
      <w:r w:rsidRPr="0057381D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pd</w:t>
      </w:r>
      <w:proofErr w:type="spellEnd"/>
      <w:proofErr w:type="gramStart"/>
      <w:r w:rsidRPr="0057381D">
        <w:rPr>
          <w:rFonts w:ascii="Times New Roman" w:hAnsi="Times New Roman" w:cs="Times New Roman"/>
          <w:color w:val="000000" w:themeColor="text1"/>
          <w:sz w:val="28"/>
          <w:szCs w:val="28"/>
        </w:rPr>
        <w:t>=(</w:t>
      </w:r>
      <w:proofErr w:type="gramEnd"/>
      <w:r w:rsidRPr="0057381D">
        <w:rPr>
          <w:rFonts w:ascii="Times New Roman" w:hAnsi="Times New Roman" w:cs="Times New Roman"/>
          <w:color w:val="000000" w:themeColor="text1"/>
          <w:sz w:val="28"/>
          <w:szCs w:val="28"/>
        </w:rPr>
        <w:t>10/15)/(35/22,5)=0,43</w:t>
      </w:r>
    </w:p>
    <w:p w:rsidR="0057381D" w:rsidRPr="0057381D" w:rsidRDefault="0057381D" w:rsidP="0057381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5738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dP</w:t>
      </w:r>
      <w:proofErr w:type="spellEnd"/>
      <w:r w:rsidRPr="0057381D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proofErr w:type="gramEnd"/>
      <w:r w:rsidRPr="0057381D">
        <w:rPr>
          <w:rFonts w:ascii="Times New Roman" w:hAnsi="Times New Roman" w:cs="Times New Roman"/>
          <w:color w:val="000000" w:themeColor="text1"/>
          <w:sz w:val="28"/>
          <w:szCs w:val="28"/>
        </w:rPr>
        <w:t>40-5=35</w:t>
      </w:r>
    </w:p>
    <w:p w:rsidR="0057381D" w:rsidRPr="0057381D" w:rsidRDefault="0057381D" w:rsidP="0057381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5738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dQ</w:t>
      </w:r>
      <w:r w:rsidRPr="0057381D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d</w:t>
      </w:r>
      <w:proofErr w:type="spellEnd"/>
      <w:r w:rsidRPr="0057381D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proofErr w:type="gramEnd"/>
      <w:r w:rsidRPr="0057381D">
        <w:rPr>
          <w:rFonts w:ascii="Times New Roman" w:hAnsi="Times New Roman" w:cs="Times New Roman"/>
          <w:color w:val="000000" w:themeColor="text1"/>
          <w:sz w:val="28"/>
          <w:szCs w:val="28"/>
        </w:rPr>
        <w:t>20-10=10</w:t>
      </w:r>
    </w:p>
    <w:p w:rsidR="0057381D" w:rsidRPr="0057381D" w:rsidRDefault="0057381D" w:rsidP="0057381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38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P</w:t>
      </w:r>
      <w:proofErr w:type="gramStart"/>
      <w:r w:rsidRPr="0057381D">
        <w:rPr>
          <w:rFonts w:ascii="Times New Roman" w:hAnsi="Times New Roman" w:cs="Times New Roman"/>
          <w:color w:val="000000" w:themeColor="text1"/>
          <w:sz w:val="28"/>
          <w:szCs w:val="28"/>
        </w:rPr>
        <w:t>=(</w:t>
      </w:r>
      <w:proofErr w:type="gramEnd"/>
      <w:r w:rsidRPr="0057381D">
        <w:rPr>
          <w:rFonts w:ascii="Times New Roman" w:hAnsi="Times New Roman" w:cs="Times New Roman"/>
          <w:color w:val="000000" w:themeColor="text1"/>
          <w:sz w:val="28"/>
          <w:szCs w:val="28"/>
        </w:rPr>
        <w:t>40+5)/2=22,5</w:t>
      </w:r>
    </w:p>
    <w:p w:rsidR="0057381D" w:rsidRPr="0057381D" w:rsidRDefault="0057381D" w:rsidP="0057381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7381D" w:rsidRPr="0057381D" w:rsidSect="009C6D30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  <w:proofErr w:type="spellStart"/>
      <w:r w:rsidRPr="005738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</w:t>
      </w:r>
      <w:r w:rsidRPr="0057381D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d</w:t>
      </w:r>
      <w:proofErr w:type="spellEnd"/>
      <w:proofErr w:type="gramStart"/>
      <w:r w:rsidRPr="0057381D">
        <w:rPr>
          <w:rFonts w:ascii="Times New Roman" w:hAnsi="Times New Roman" w:cs="Times New Roman"/>
          <w:color w:val="000000" w:themeColor="text1"/>
          <w:sz w:val="28"/>
          <w:szCs w:val="28"/>
        </w:rPr>
        <w:t>=(</w:t>
      </w:r>
      <w:proofErr w:type="gramEnd"/>
      <w:r w:rsidRPr="0057381D">
        <w:rPr>
          <w:rFonts w:ascii="Times New Roman" w:hAnsi="Times New Roman" w:cs="Times New Roman"/>
          <w:color w:val="000000" w:themeColor="text1"/>
          <w:sz w:val="28"/>
          <w:szCs w:val="28"/>
        </w:rPr>
        <w:t>20+10)/2=15</w:t>
      </w:r>
    </w:p>
    <w:p w:rsidR="0057381D" w:rsidRPr="0057381D" w:rsidRDefault="0057381D" w:rsidP="0057381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38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0&lt;0,43&lt;1 </w:t>
      </w:r>
      <w:r w:rsidRPr="005738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Ответ</w:t>
      </w:r>
      <w:proofErr w:type="gramStart"/>
      <w:r w:rsidRPr="00573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573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Спрос неэластичен </w:t>
      </w:r>
    </w:p>
    <w:p w:rsidR="0057381D" w:rsidRPr="0057381D" w:rsidRDefault="0057381D" w:rsidP="0057381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5738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Кейс №3</w:t>
      </w:r>
    </w:p>
    <w:p w:rsidR="0057381D" w:rsidRPr="0057381D" w:rsidRDefault="0057381D" w:rsidP="0057381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Задание:  ПО АНАЛИЗУ АНТИКАРТЕЛЬНЫХ ДЕЛ В ЕВРОПЕЙСКОЙ КОМИССИИ НА ОСНОВЕ ДАННЫХ … </w:t>
      </w:r>
    </w:p>
    <w:p w:rsidR="0057381D" w:rsidRPr="0057381D" w:rsidRDefault="0057381D" w:rsidP="0057381D">
      <w:pPr>
        <w:numPr>
          <w:ilvl w:val="0"/>
          <w:numId w:val="1"/>
        </w:numPr>
        <w:spacing w:after="0"/>
        <w:ind w:left="0" w:right="-17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Выберите случаи, по которым вынесено окончательное реш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ение о наложении санкций</w:t>
      </w:r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Оп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ределите отрасль, тип нарушения</w:t>
      </w:r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число ответчиков, период рассмотрения, размер штрафа и принцип, по которому этот штраф вводился.</w:t>
      </w:r>
    </w:p>
    <w:p w:rsidR="0057381D" w:rsidRPr="0057381D" w:rsidRDefault="0057381D" w:rsidP="0057381D">
      <w:pPr>
        <w:spacing w:after="0"/>
        <w:ind w:right="-17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Решение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Комиссии по делу производителей профессиональных видеокассет</w:t>
      </w:r>
    </w:p>
    <w:p w:rsidR="0057381D" w:rsidRPr="0057381D" w:rsidRDefault="0057381D" w:rsidP="0057381D">
      <w:pPr>
        <w:spacing w:after="0"/>
        <w:ind w:right="-17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Тип нарушения: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фиксированные цены</w:t>
      </w:r>
    </w:p>
    <w:p w:rsidR="0057381D" w:rsidRPr="009C6D30" w:rsidRDefault="0057381D" w:rsidP="0057381D">
      <w:pPr>
        <w:spacing w:after="0"/>
        <w:ind w:right="-170"/>
        <w:contextualSpacing/>
        <w:jc w:val="both"/>
        <w:rPr>
          <w:rFonts w:asciiTheme="majorHAnsi" w:eastAsia="Calibri" w:hAnsiTheme="majorHAnsi" w:cs="Arial"/>
          <w:sz w:val="28"/>
          <w:szCs w:val="28"/>
        </w:rPr>
      </w:pPr>
      <w:proofErr w:type="spellStart"/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Антитраст</w:t>
      </w:r>
      <w:proofErr w:type="spellEnd"/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Штрафы Комиссии по делу производителей профессиональных видеокассет на сумму свыше € 74 миллионов за создание картеля по фиксированию цен.</w:t>
      </w:r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 Европейская комиссия наложила штрафы, всего на сумму 74.790.000 €, на </w:t>
      </w:r>
      <w:proofErr w:type="spellStart"/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Sony</w:t>
      </w:r>
      <w:proofErr w:type="spellEnd"/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Fuji</w:t>
      </w:r>
      <w:proofErr w:type="spellEnd"/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Maxell</w:t>
      </w:r>
      <w:proofErr w:type="spellEnd"/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фиксирование цен на рынке продаж профессиональных видеокассет покупателям Европы в нарушении Соглашения EC о запрете на картели и другие действия по ограничению рыночных отношений (</w:t>
      </w:r>
      <w:proofErr w:type="spellStart"/>
      <w:proofErr w:type="gramStart"/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</w:t>
      </w:r>
      <w:proofErr w:type="spellEnd"/>
      <w:proofErr w:type="gramEnd"/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81). В период между 1999 и 2002 годами, </w:t>
      </w:r>
      <w:proofErr w:type="spellStart"/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Sony</w:t>
      </w:r>
      <w:proofErr w:type="spellEnd"/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Fuji</w:t>
      </w:r>
      <w:proofErr w:type="spellEnd"/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Maxell</w:t>
      </w:r>
      <w:proofErr w:type="spellEnd"/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контролировали </w:t>
      </w:r>
      <w:proofErr w:type="gramStart"/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цены</w:t>
      </w:r>
      <w:proofErr w:type="gramEnd"/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как в плане роста, так и во всех остальных отношениях посредством ряда регулярных встреч и других незаконных контактов. Штраф </w:t>
      </w:r>
      <w:proofErr w:type="spellStart"/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Sony</w:t>
      </w:r>
      <w:proofErr w:type="spellEnd"/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был увеличен на 30% за препятствия работе Комиссии во время локальных проверок его помещений. Штрафы </w:t>
      </w:r>
      <w:proofErr w:type="spellStart"/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Fuji</w:t>
      </w:r>
      <w:proofErr w:type="spellEnd"/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Maxell</w:t>
      </w:r>
      <w:proofErr w:type="spellEnd"/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были уменьшены на 40% и 20% соответственно, потому что они сотрудничали с расследованием в соответствии с программой освобождения от ответственности (2002 </w:t>
      </w:r>
      <w:proofErr w:type="spellStart"/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Leniency</w:t>
      </w:r>
      <w:proofErr w:type="spellEnd"/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Notice</w:t>
      </w:r>
      <w:proofErr w:type="spellEnd"/>
      <w:r w:rsidRPr="005738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 Однако в данном случае освобождения от ответственности не было. Для расчета штрафов в</w:t>
      </w:r>
      <w:r w:rsidRPr="009C6D30">
        <w:rPr>
          <w:rFonts w:asciiTheme="majorHAnsi" w:eastAsia="Calibri" w:hAnsiTheme="majorHAnsi" w:cs="Arial"/>
          <w:sz w:val="28"/>
          <w:szCs w:val="28"/>
        </w:rPr>
        <w:t xml:space="preserve"> данном деле Комиссия впервые применила новое Руководство 2006  .</w:t>
      </w:r>
      <w:r>
        <w:rPr>
          <w:rFonts w:asciiTheme="majorHAnsi" w:eastAsia="Calibri" w:hAnsiTheme="majorHAnsi" w:cs="Arial"/>
          <w:sz w:val="28"/>
          <w:szCs w:val="28"/>
        </w:rPr>
        <w:t xml:space="preserve"> (€) </w:t>
      </w:r>
      <w:proofErr w:type="spellStart"/>
      <w:r>
        <w:rPr>
          <w:rFonts w:asciiTheme="majorHAnsi" w:eastAsia="Calibri" w:hAnsiTheme="majorHAnsi" w:cs="Arial"/>
          <w:sz w:val="28"/>
          <w:szCs w:val="28"/>
        </w:rPr>
        <w:t>Sony</w:t>
      </w:r>
      <w:proofErr w:type="spellEnd"/>
      <w:r>
        <w:rPr>
          <w:rFonts w:asciiTheme="majorHAnsi" w:eastAsia="Calibri" w:hAnsiTheme="majorHAnsi" w:cs="Arial"/>
          <w:sz w:val="28"/>
          <w:szCs w:val="28"/>
        </w:rPr>
        <w:t xml:space="preserve"> (Япония) </w:t>
      </w:r>
      <w:proofErr w:type="spellStart"/>
      <w:r>
        <w:rPr>
          <w:rFonts w:asciiTheme="majorHAnsi" w:eastAsia="Calibri" w:hAnsiTheme="majorHAnsi" w:cs="Arial"/>
          <w:sz w:val="28"/>
          <w:szCs w:val="28"/>
        </w:rPr>
        <w:t>None</w:t>
      </w:r>
      <w:proofErr w:type="spellEnd"/>
      <w:r>
        <w:rPr>
          <w:rFonts w:asciiTheme="majorHAnsi" w:eastAsia="Calibri" w:hAnsiTheme="majorHAnsi" w:cs="Arial"/>
          <w:sz w:val="28"/>
          <w:szCs w:val="28"/>
        </w:rPr>
        <w:t xml:space="preserve"> </w:t>
      </w:r>
      <w:proofErr w:type="spellStart"/>
      <w:r>
        <w:rPr>
          <w:rFonts w:asciiTheme="majorHAnsi" w:eastAsia="Calibri" w:hAnsiTheme="majorHAnsi" w:cs="Arial"/>
          <w:sz w:val="28"/>
          <w:szCs w:val="28"/>
        </w:rPr>
        <w:t>None</w:t>
      </w:r>
      <w:proofErr w:type="spellEnd"/>
      <w:r>
        <w:rPr>
          <w:rFonts w:asciiTheme="majorHAnsi" w:eastAsia="Calibri" w:hAnsiTheme="majorHAnsi" w:cs="Arial"/>
          <w:sz w:val="28"/>
          <w:szCs w:val="28"/>
        </w:rPr>
        <w:t xml:space="preserve"> 47.190.000 </w:t>
      </w:r>
      <w:proofErr w:type="spellStart"/>
      <w:r>
        <w:rPr>
          <w:rFonts w:asciiTheme="majorHAnsi" w:eastAsia="Calibri" w:hAnsiTheme="majorHAnsi" w:cs="Arial"/>
          <w:sz w:val="28"/>
          <w:szCs w:val="28"/>
        </w:rPr>
        <w:t>Fuji</w:t>
      </w:r>
      <w:proofErr w:type="spellEnd"/>
      <w:r>
        <w:rPr>
          <w:rFonts w:asciiTheme="majorHAnsi" w:eastAsia="Calibri" w:hAnsiTheme="majorHAnsi" w:cs="Arial"/>
          <w:sz w:val="28"/>
          <w:szCs w:val="28"/>
        </w:rPr>
        <w:t xml:space="preserve"> (Япония) 40% 8.800.000 13.200.000 </w:t>
      </w:r>
      <w:proofErr w:type="spellStart"/>
      <w:r>
        <w:rPr>
          <w:rFonts w:asciiTheme="majorHAnsi" w:eastAsia="Calibri" w:hAnsiTheme="majorHAnsi" w:cs="Arial"/>
          <w:sz w:val="28"/>
          <w:szCs w:val="28"/>
        </w:rPr>
        <w:t>Maxell</w:t>
      </w:r>
      <w:proofErr w:type="spellEnd"/>
      <w:r>
        <w:rPr>
          <w:rFonts w:asciiTheme="majorHAnsi" w:eastAsia="Calibri" w:hAnsiTheme="majorHAnsi" w:cs="Arial"/>
          <w:sz w:val="28"/>
          <w:szCs w:val="28"/>
        </w:rPr>
        <w:t xml:space="preserve"> (Япония) 20% 3.600.000 14.400.000</w:t>
      </w:r>
      <w:proofErr w:type="gramStart"/>
      <w:r>
        <w:rPr>
          <w:rFonts w:asciiTheme="majorHAnsi" w:eastAsia="Calibri" w:hAnsiTheme="majorHAnsi" w:cs="Arial"/>
          <w:sz w:val="28"/>
          <w:szCs w:val="28"/>
        </w:rPr>
        <w:t xml:space="preserve"> И</w:t>
      </w:r>
      <w:proofErr w:type="gramEnd"/>
      <w:r>
        <w:rPr>
          <w:rFonts w:asciiTheme="majorHAnsi" w:eastAsia="Calibri" w:hAnsiTheme="majorHAnsi" w:cs="Arial"/>
          <w:sz w:val="28"/>
          <w:szCs w:val="28"/>
        </w:rPr>
        <w:t>того 74.790.</w:t>
      </w:r>
      <w:r w:rsidRPr="009C6D30">
        <w:rPr>
          <w:rFonts w:asciiTheme="majorHAnsi" w:eastAsia="Calibri" w:hAnsiTheme="majorHAnsi" w:cs="Arial"/>
          <w:sz w:val="28"/>
          <w:szCs w:val="28"/>
        </w:rPr>
        <w:t xml:space="preserve">000 (*) Юридические лица в качестве ответчиков могут быть привлечены совместно и по отдельности по наложенным штрафам целиком или частично. </w:t>
      </w:r>
    </w:p>
    <w:p w:rsidR="0057381D" w:rsidRPr="0057381D" w:rsidRDefault="0057381D" w:rsidP="0057381D">
      <w:pPr>
        <w:ind w:right="-170"/>
        <w:contextualSpacing/>
        <w:rPr>
          <w:rFonts w:asciiTheme="majorHAnsi" w:eastAsia="Calibri" w:hAnsiTheme="majorHAnsi" w:cs="Arial"/>
          <w:i/>
          <w:sz w:val="28"/>
          <w:szCs w:val="28"/>
        </w:rPr>
      </w:pPr>
      <w:r w:rsidRPr="009C6D30">
        <w:rPr>
          <w:rFonts w:asciiTheme="majorHAnsi" w:eastAsia="Calibri" w:hAnsiTheme="majorHAnsi" w:cs="Arial"/>
          <w:sz w:val="28"/>
          <w:szCs w:val="28"/>
        </w:rPr>
        <w:t>Тип нарушения</w:t>
      </w:r>
      <w:proofErr w:type="gramStart"/>
      <w:r>
        <w:rPr>
          <w:rFonts w:asciiTheme="majorHAnsi" w:eastAsia="Calibri" w:hAnsiTheme="majorHAnsi" w:cs="Arial"/>
          <w:sz w:val="28"/>
          <w:szCs w:val="28"/>
        </w:rPr>
        <w:t xml:space="preserve"> :</w:t>
      </w:r>
      <w:proofErr w:type="gramEnd"/>
      <w:r>
        <w:rPr>
          <w:rFonts w:asciiTheme="majorHAnsi" w:eastAsia="Calibri" w:hAnsiTheme="majorHAnsi" w:cs="Arial"/>
          <w:sz w:val="28"/>
          <w:szCs w:val="28"/>
        </w:rPr>
        <w:t xml:space="preserve"> </w:t>
      </w:r>
      <w:r w:rsidRPr="009C6D30">
        <w:rPr>
          <w:rFonts w:asciiTheme="majorHAnsi" w:eastAsia="Calibri" w:hAnsiTheme="majorHAnsi" w:cs="Arial"/>
          <w:sz w:val="28"/>
          <w:szCs w:val="28"/>
        </w:rPr>
        <w:t>Разделение рынка</w:t>
      </w:r>
    </w:p>
    <w:p w:rsidR="0057381D" w:rsidRPr="009C6D30" w:rsidRDefault="0057381D" w:rsidP="0057381D">
      <w:pPr>
        <w:spacing w:after="0"/>
        <w:contextualSpacing/>
        <w:rPr>
          <w:rFonts w:asciiTheme="majorHAnsi" w:eastAsia="Calibri" w:hAnsiTheme="majorHAnsi" w:cs="Arial"/>
          <w:sz w:val="28"/>
          <w:szCs w:val="28"/>
        </w:rPr>
      </w:pPr>
      <w:r w:rsidRPr="009C6D30">
        <w:rPr>
          <w:rFonts w:asciiTheme="majorHAnsi" w:eastAsia="Calibri" w:hAnsiTheme="majorHAnsi" w:cs="Arial"/>
          <w:sz w:val="28"/>
          <w:szCs w:val="28"/>
        </w:rPr>
        <w:t xml:space="preserve">Штрафы Комиссии членов пивного картеля в Нидерландах на сумму свыше € 273 миллионов Европейская Комиссия оштрафовала голландских пивоваров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Heineken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,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Grolsch</w:t>
      </w:r>
      <w:proofErr w:type="spellEnd"/>
      <w:r>
        <w:rPr>
          <w:rFonts w:asciiTheme="majorHAnsi" w:eastAsia="Calibri" w:hAnsiTheme="majorHAnsi" w:cs="Arial"/>
          <w:sz w:val="28"/>
          <w:szCs w:val="28"/>
        </w:rPr>
        <w:t xml:space="preserve"> и </w:t>
      </w:r>
      <w:proofErr w:type="spellStart"/>
      <w:r>
        <w:rPr>
          <w:rFonts w:asciiTheme="majorHAnsi" w:eastAsia="Calibri" w:hAnsiTheme="majorHAnsi" w:cs="Arial"/>
          <w:sz w:val="28"/>
          <w:szCs w:val="28"/>
        </w:rPr>
        <w:t>Bavaria</w:t>
      </w:r>
      <w:proofErr w:type="spellEnd"/>
      <w:r>
        <w:rPr>
          <w:rFonts w:asciiTheme="majorHAnsi" w:eastAsia="Calibri" w:hAnsiTheme="majorHAnsi" w:cs="Arial"/>
          <w:sz w:val="28"/>
          <w:szCs w:val="28"/>
        </w:rPr>
        <w:t xml:space="preserve"> на общую сумму € 273.783.</w:t>
      </w:r>
      <w:r w:rsidRPr="009C6D30">
        <w:rPr>
          <w:rFonts w:asciiTheme="majorHAnsi" w:eastAsia="Calibri" w:hAnsiTheme="majorHAnsi" w:cs="Arial"/>
          <w:sz w:val="28"/>
          <w:szCs w:val="28"/>
        </w:rPr>
        <w:t xml:space="preserve">000 за создание картеля на </w:t>
      </w:r>
      <w:r w:rsidRPr="009C6D30">
        <w:rPr>
          <w:rFonts w:asciiTheme="majorHAnsi" w:eastAsia="Calibri" w:hAnsiTheme="majorHAnsi" w:cs="Arial"/>
          <w:sz w:val="28"/>
          <w:szCs w:val="28"/>
        </w:rPr>
        <w:lastRenderedPageBreak/>
        <w:t>рынке пива в Нидерландах в нарушении Соглашения EC о запрете на картели и другие действия по ограни</w:t>
      </w:r>
      <w:r>
        <w:rPr>
          <w:rFonts w:asciiTheme="majorHAnsi" w:eastAsia="Calibri" w:hAnsiTheme="majorHAnsi" w:cs="Arial"/>
          <w:sz w:val="28"/>
          <w:szCs w:val="28"/>
        </w:rPr>
        <w:t>чению рыночных отношений (</w:t>
      </w:r>
      <w:proofErr w:type="spellStart"/>
      <w:proofErr w:type="gramStart"/>
      <w:r>
        <w:rPr>
          <w:rFonts w:asciiTheme="majorHAnsi" w:eastAsia="Calibri" w:hAnsiTheme="majorHAnsi" w:cs="Arial"/>
          <w:sz w:val="28"/>
          <w:szCs w:val="28"/>
        </w:rPr>
        <w:t>Ст</w:t>
      </w:r>
      <w:proofErr w:type="spellEnd"/>
      <w:proofErr w:type="gramEnd"/>
      <w:r w:rsidRPr="009C6D30">
        <w:rPr>
          <w:rFonts w:asciiTheme="majorHAnsi" w:eastAsia="Calibri" w:hAnsiTheme="majorHAnsi" w:cs="Arial"/>
          <w:sz w:val="28"/>
          <w:szCs w:val="28"/>
        </w:rPr>
        <w:t xml:space="preserve"> 81). Решение Комиссии включает группу компаний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Heineken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,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Grolsch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 и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Bavaria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, вместе с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InBev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 группой, которая также участвовала в картеле. Потребление пива в Нидерландах приблизительно составляет 80 литров на душу населения. В период как минимум между 1996 и 1999 годами эти четыре пивовара провели многочисленные неофициальные встречи, во время которых они координировали цены и повышение цен на пиво в Нидерландах.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InBev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 не был оштрафован, так как предоставил убедительную информацию о картеле в соответствии с программой освобождения от ответственности.</w:t>
      </w:r>
    </w:p>
    <w:p w:rsidR="0057381D" w:rsidRPr="009C6D30" w:rsidRDefault="0057381D" w:rsidP="0057381D">
      <w:pPr>
        <w:spacing w:after="0"/>
        <w:contextualSpacing/>
        <w:rPr>
          <w:rFonts w:asciiTheme="majorHAnsi" w:eastAsia="Calibri" w:hAnsiTheme="majorHAnsi" w:cs="Arial"/>
          <w:sz w:val="28"/>
          <w:szCs w:val="28"/>
        </w:rPr>
      </w:pPr>
      <w:r w:rsidRPr="009C6D30">
        <w:rPr>
          <w:rFonts w:asciiTheme="majorHAnsi" w:eastAsia="Calibri" w:hAnsiTheme="majorHAnsi" w:cs="Arial"/>
          <w:sz w:val="28"/>
          <w:szCs w:val="28"/>
        </w:rPr>
        <w:t xml:space="preserve">После Комиссии, по собственной инициативе раскрыв картель на бельгийском рынке пива,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InBev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 под эгидой программы освобождения от ответственности предоставил информацию о собственном участии в картелях в других европейских странах. Это привело к обыскам пивоваров во Франции, Люксембурге, Италии и Нидерландах. В результате этих расследований были приняты антикартельные решения по Бельгии, Франции и Люксембургу. Итальянское расследование было закрыто без вынесения обвинений.</w:t>
      </w:r>
    </w:p>
    <w:p w:rsidR="0057381D" w:rsidRPr="009C6D30" w:rsidRDefault="0057381D" w:rsidP="0057381D">
      <w:pPr>
        <w:spacing w:after="0"/>
        <w:contextualSpacing/>
        <w:rPr>
          <w:rFonts w:asciiTheme="majorHAnsi" w:eastAsia="Calibri" w:hAnsiTheme="majorHAnsi" w:cs="Arial"/>
          <w:sz w:val="28"/>
          <w:szCs w:val="28"/>
        </w:rPr>
      </w:pPr>
      <w:r w:rsidRPr="009C6D30">
        <w:rPr>
          <w:rFonts w:asciiTheme="majorHAnsi" w:eastAsia="Calibri" w:hAnsiTheme="majorHAnsi" w:cs="Arial"/>
          <w:sz w:val="28"/>
          <w:szCs w:val="28"/>
        </w:rPr>
        <w:t xml:space="preserve">Доказательства. В результате обысков были получены доказательства в виде личных рукописных записей, взятых на неофициальных встречах и содержащие информацию о датах и местах встреч. Полученные доказательства свидетельствовали, что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Heineken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,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InBev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,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Grolsch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 и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Bavaria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 управляли незаконным картелем в Нидерландах. Это также полностью подтверждается корпоративными заявлениями, сделанными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InBev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>.</w:t>
      </w:r>
    </w:p>
    <w:p w:rsidR="0057381D" w:rsidRPr="009C6D30" w:rsidRDefault="0057381D" w:rsidP="0057381D">
      <w:pPr>
        <w:spacing w:after="0"/>
        <w:contextualSpacing/>
        <w:rPr>
          <w:rFonts w:asciiTheme="majorHAnsi" w:eastAsia="Calibri" w:hAnsiTheme="majorHAnsi" w:cs="Arial"/>
          <w:sz w:val="28"/>
          <w:szCs w:val="28"/>
        </w:rPr>
      </w:pPr>
      <w:r w:rsidRPr="009C6D30">
        <w:rPr>
          <w:rFonts w:asciiTheme="majorHAnsi" w:eastAsia="Calibri" w:hAnsiTheme="majorHAnsi" w:cs="Arial"/>
          <w:sz w:val="28"/>
          <w:szCs w:val="28"/>
        </w:rPr>
        <w:t xml:space="preserve">Штрафы. Рассмотренные случаи являются очень серьезным нарушением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антитрастовых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 правил Соглашения EC. Штрафы были рассчитаны с учетом размера рынков, продолжительности деятельности картеля и размера вовлеченных фирм.</w:t>
      </w:r>
    </w:p>
    <w:p w:rsidR="0057381D" w:rsidRPr="00F70905" w:rsidRDefault="0057381D" w:rsidP="0057381D">
      <w:pPr>
        <w:spacing w:after="0"/>
        <w:contextualSpacing/>
        <w:rPr>
          <w:rFonts w:asciiTheme="majorHAnsi" w:eastAsia="Calibri" w:hAnsiTheme="majorHAnsi" w:cs="Arial"/>
          <w:i/>
          <w:sz w:val="28"/>
          <w:szCs w:val="28"/>
        </w:rPr>
      </w:pPr>
      <w:r w:rsidRPr="009C6D30">
        <w:rPr>
          <w:rFonts w:asciiTheme="majorHAnsi" w:eastAsia="Calibri" w:hAnsiTheme="majorHAnsi" w:cs="Arial"/>
          <w:sz w:val="28"/>
          <w:szCs w:val="28"/>
        </w:rPr>
        <w:t>Комиссия признает, что расследование в данном случае неоправданно затянулось, и, начиная с обысков, продлилось свыше семи лет. По этим причинам разме</w:t>
      </w:r>
      <w:r>
        <w:rPr>
          <w:rFonts w:asciiTheme="majorHAnsi" w:eastAsia="Calibri" w:hAnsiTheme="majorHAnsi" w:cs="Arial"/>
          <w:sz w:val="28"/>
          <w:szCs w:val="28"/>
        </w:rPr>
        <w:t>р штрафов был уменьшен на € 100.</w:t>
      </w:r>
      <w:r w:rsidRPr="009C6D30">
        <w:rPr>
          <w:rFonts w:asciiTheme="majorHAnsi" w:eastAsia="Calibri" w:hAnsiTheme="majorHAnsi" w:cs="Arial"/>
          <w:sz w:val="28"/>
          <w:szCs w:val="28"/>
        </w:rPr>
        <w:t>000.</w:t>
      </w:r>
    </w:p>
    <w:p w:rsidR="0057381D" w:rsidRPr="001744E1" w:rsidRDefault="0057381D" w:rsidP="001744E1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1744E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Использовалась ли в ходе дела программа освобождения от ответственности (</w:t>
      </w:r>
      <w:proofErr w:type="spellStart"/>
      <w:r w:rsidRPr="001744E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Leniency</w:t>
      </w:r>
      <w:proofErr w:type="spellEnd"/>
      <w:r w:rsidRPr="001744E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1744E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Program</w:t>
      </w:r>
      <w:proofErr w:type="spellEnd"/>
      <w:r w:rsidRPr="001744E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)? Оцените последствия применения </w:t>
      </w:r>
      <w:proofErr w:type="spellStart"/>
      <w:r w:rsidRPr="001744E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Leniency</w:t>
      </w:r>
      <w:proofErr w:type="spellEnd"/>
      <w:r w:rsidRPr="001744E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1744E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Program</w:t>
      </w:r>
      <w:proofErr w:type="spellEnd"/>
      <w:r w:rsidRPr="001744E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на картель.</w:t>
      </w:r>
    </w:p>
    <w:p w:rsidR="0057381D" w:rsidRPr="001744E1" w:rsidRDefault="0057381D" w:rsidP="001744E1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В случае с видеокассетами программа не использовалась.</w:t>
      </w:r>
    </w:p>
    <w:p w:rsidR="0057381D" w:rsidRPr="001744E1" w:rsidRDefault="0057381D" w:rsidP="001744E1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Во втором случае в Нидерландах Комиссия признает, что расследование в данном случае неоправданно затянулось, и, начиная с обысков, продлилось свыше семи лет. По этим причинам размер штрафов был уменьшен на € 100.000.</w:t>
      </w:r>
    </w:p>
    <w:p w:rsidR="0057381D" w:rsidRPr="001744E1" w:rsidRDefault="0057381D" w:rsidP="001744E1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Наложенные штрафы и сокращения, предоставленные Комиссией:</w:t>
      </w:r>
    </w:p>
    <w:p w:rsidR="0057381D" w:rsidRPr="001744E1" w:rsidRDefault="0057381D" w:rsidP="001744E1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Наименование и месторасположение компании</w:t>
      </w:r>
    </w:p>
    <w:p w:rsidR="0057381D" w:rsidRPr="001744E1" w:rsidRDefault="0057381D" w:rsidP="001744E1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Уменьшение штрафа в соответствии с Уведомлением о снисхождении</w:t>
      </w:r>
    </w:p>
    <w:p w:rsidR="0057381D" w:rsidRPr="001744E1" w:rsidRDefault="0057381D" w:rsidP="001744E1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(%) Уменьшение штрафа в соответствии с Уведомлением о снисхождении</w:t>
      </w:r>
    </w:p>
    <w:p w:rsidR="0057381D" w:rsidRPr="001744E1" w:rsidRDefault="0057381D" w:rsidP="001744E1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(€) Особые вычеты (</w:t>
      </w:r>
      <w:proofErr w:type="spellStart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euros</w:t>
      </w:r>
      <w:proofErr w:type="spellEnd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Штраф (</w:t>
      </w:r>
      <w:proofErr w:type="spellStart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euros</w:t>
      </w:r>
      <w:proofErr w:type="spellEnd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Heineken</w:t>
      </w:r>
      <w:proofErr w:type="spellEnd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NV (NL) &amp; </w:t>
      </w:r>
      <w:proofErr w:type="spellStart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Heineken</w:t>
      </w:r>
      <w:proofErr w:type="spellEnd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Nederland</w:t>
      </w:r>
      <w:proofErr w:type="spellEnd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BV (NL)(*) 100.000.219.275.000 </w:t>
      </w:r>
      <w:proofErr w:type="spellStart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InBev</w:t>
      </w:r>
      <w:proofErr w:type="spellEnd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NV (B) &amp; </w:t>
      </w:r>
      <w:proofErr w:type="spellStart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InBev</w:t>
      </w:r>
      <w:proofErr w:type="spellEnd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Nederland</w:t>
      </w:r>
      <w:proofErr w:type="spellEnd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NV (NL)(*) 100 84.375.000 0 </w:t>
      </w:r>
      <w:proofErr w:type="spellStart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proofErr w:type="spellEnd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Grolsch</w:t>
      </w:r>
      <w:proofErr w:type="spellEnd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NV (NL) 0 0.100.000 31.658 000 </w:t>
      </w:r>
      <w:proofErr w:type="spellStart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Bavaria</w:t>
      </w:r>
      <w:proofErr w:type="spellEnd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NV (NL) 0 0.100.000 22.850.000</w:t>
      </w:r>
      <w:proofErr w:type="gramStart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того 273.783.000 (*) Совместная и индивидуальная ответственность Действия в случае убытков Любой человек или фирма, которых затронуло </w:t>
      </w:r>
      <w:proofErr w:type="spellStart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анти-конкурентное</w:t>
      </w:r>
      <w:proofErr w:type="spellEnd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поведение как описано в этом деле, могут вынести вопрос на рассмотрение судов Государств — членов и истребовать убытки, представляя элементы опубликованного решения как доказательство, что поведение </w:t>
      </w:r>
      <w:proofErr w:type="gramStart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имело место и было</w:t>
      </w:r>
      <w:proofErr w:type="gramEnd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незаконно. Несмотря на то, что Комиссия оштрафовала заинтересованные компании, убытки можно востребовать без уменьшения из-за штрафа Комиссии.</w:t>
      </w:r>
    </w:p>
    <w:p w:rsidR="0057381D" w:rsidRPr="001744E1" w:rsidRDefault="0057381D" w:rsidP="001744E1">
      <w:pPr>
        <w:spacing w:after="0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57381D" w:rsidRPr="001744E1" w:rsidRDefault="0057381D" w:rsidP="001744E1">
      <w:pPr>
        <w:numPr>
          <w:ilvl w:val="0"/>
          <w:numId w:val="1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1744E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Подготовьте гипотезы о том, почему картель стал во</w:t>
      </w:r>
      <w:r w:rsidR="001744E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зможен на данном рынке</w:t>
      </w:r>
      <w:r w:rsidRPr="001744E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. Представьте перечень индикаторов, которые могли бы подтвердить Ваши гипотезы.</w:t>
      </w:r>
    </w:p>
    <w:p w:rsidR="0057381D" w:rsidRPr="001744E1" w:rsidRDefault="0057381D" w:rsidP="001744E1">
      <w:pPr>
        <w:spacing w:after="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744E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Картель стал возможным на данных рынках потому что  …</w:t>
      </w:r>
    </w:p>
    <w:p w:rsidR="0057381D" w:rsidRPr="001744E1" w:rsidRDefault="0057381D" w:rsidP="001744E1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произошло повышение цены реализации продукции. Это наиболее универсальное последствие, сопровождающее создание практически любого картеля. Часто именно оно выводит отрасль из убытков в зону прибыльности</w:t>
      </w:r>
      <w:proofErr w:type="gramStart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тому же картели часто создаются для прекращения разрушительных ценовых войн. Даже если сложившиеся цены грозят разорить всех, поднять их в отдельности не может ни одна из фирм. Стоит кому-то сделать такую попытку, и покупатель переключится на продукцию конкурентов, что дополнительно ухудшит и без того тяжелое положение рискнувшей повысить цены фирмы. Выход состоит в согласованном повышении цен всеми основными производителями. А это первый шаг к картелю.</w:t>
      </w:r>
    </w:p>
    <w:p w:rsidR="0057381D" w:rsidRPr="00F70905" w:rsidRDefault="0057381D" w:rsidP="001744E1">
      <w:pPr>
        <w:spacing w:after="0"/>
        <w:contextualSpacing/>
        <w:jc w:val="both"/>
        <w:rPr>
          <w:rFonts w:asciiTheme="majorHAnsi" w:eastAsia="Calibri" w:hAnsiTheme="majorHAnsi" w:cs="Arial"/>
          <w:i/>
          <w:sz w:val="28"/>
          <w:szCs w:val="28"/>
        </w:rPr>
      </w:pPr>
      <w:r w:rsidRPr="001744E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2.</w:t>
      </w:r>
      <w:r w:rsidRPr="001744E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ab/>
      </w:r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закрепились некоторые сегменты рынка под монопольным контролем. Раздел рынка ведет к тому, что фирма становится </w:t>
      </w:r>
      <w:proofErr w:type="spellStart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чистыи</w:t>
      </w:r>
      <w:proofErr w:type="spellEnd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монополистом в своем сегменте и может там диктовать собственную волю безо всякой оглядки на конкурентов. Помимо наиболее известного территориального раздела (например, по договору московский рынок обслуживает одна фирма, петербургский – другая) широко практикуется раздел по продуктам (члены картеля на взаимной основе предоставляют друг другу исключительные права на выпуск определенных товаров). Встречаются и договоры о разделе крупных клиентов (перекачивающие станции для «Газпрома» поставляет одна фирма, для «</w:t>
      </w:r>
      <w:proofErr w:type="spellStart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Транснефти</w:t>
      </w:r>
      <w:proofErr w:type="spellEnd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- вторая). В перспективном плане может осуществляться раздел</w:t>
      </w:r>
      <w:r w:rsidRPr="0051682B">
        <w:rPr>
          <w:rFonts w:asciiTheme="majorHAnsi" w:eastAsia="Calibri" w:hAnsiTheme="majorHAnsi" w:cs="Arial"/>
          <w:sz w:val="28"/>
          <w:szCs w:val="28"/>
        </w:rPr>
        <w:t xml:space="preserve"> направлений научных исследований, что годы спустя становится надежной основой продуктового раздела.</w:t>
      </w:r>
    </w:p>
    <w:p w:rsidR="001744E1" w:rsidRDefault="0057381D" w:rsidP="001744E1">
      <w:pPr>
        <w:spacing w:after="0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1744E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3.</w:t>
      </w:r>
      <w:r w:rsidRPr="001744E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ab/>
      </w:r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произошла дезинформация потребителей (имитация конкуренции). Члены картеля обычно скрывают от потребителей существование сговора. В итоге, например, на тендер по </w:t>
      </w:r>
      <w:proofErr w:type="gramStart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закурке</w:t>
      </w:r>
      <w:proofErr w:type="gramEnd"/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оборудования может поступить шесть якобы независимых заявок с предложениями от разных фирм – членов картеля. На деле же пять из них будут специально содержать невыгодные предложения, чтобы последняя (чуть лучшая) показалась приемлемой, хотя в действительности тоже является грабительской. Точно </w:t>
      </w:r>
      <w:r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так же для создания иллюзии выбора на рынке, отданном в монопольное пользование одному участнику, могут продаваться продукты других членов картеля, но по заведомо завышенным ценам.</w:t>
      </w:r>
    </w:p>
    <w:p w:rsidR="0057381D" w:rsidRPr="001744E1" w:rsidRDefault="001744E1" w:rsidP="001744E1">
      <w:pPr>
        <w:spacing w:after="0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4.</w:t>
      </w:r>
      <w:r w:rsidR="0057381D" w:rsidRPr="0017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распространение совместной  борьбы с аутсайдерами. Члены картеля могут совместно препятствовать проникновению на рынок фирм-новичков. Для этого при появлении опасности один из участников может назначать сверхнизкие («боевые») цены, чтобы вытеснить аутсайдера (так называют не входящую в картель фирму). Другие же члены картеля в дальнейшем тем или иным способом компенсируют расходы боровшейся с аутсайдером фирмы.</w:t>
      </w:r>
    </w:p>
    <w:tbl>
      <w:tblPr>
        <w:tblStyle w:val="a3"/>
        <w:tblpPr w:leftFromText="180" w:rightFromText="180" w:vertAnchor="page" w:horzAnchor="margin" w:tblpY="1876"/>
        <w:tblW w:w="11165" w:type="dxa"/>
        <w:tblLook w:val="04A0"/>
      </w:tblPr>
      <w:tblGrid>
        <w:gridCol w:w="5070"/>
        <w:gridCol w:w="6095"/>
      </w:tblGrid>
      <w:tr w:rsidR="0057381D" w:rsidRPr="001744E1" w:rsidTr="002B61B4">
        <w:trPr>
          <w:trHeight w:val="860"/>
        </w:trPr>
        <w:tc>
          <w:tcPr>
            <w:tcW w:w="5070" w:type="dxa"/>
          </w:tcPr>
          <w:p w:rsidR="0057381D" w:rsidRPr="001744E1" w:rsidRDefault="0057381D" w:rsidP="001744E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744E1">
              <w:rPr>
                <w:rFonts w:ascii="Times New Roman" w:hAnsi="Times New Roman" w:cs="Times New Roman"/>
                <w:color w:val="000000" w:themeColor="text1"/>
                <w:sz w:val="28"/>
              </w:rPr>
              <w:t>Статья Закона о защите конкуренции</w:t>
            </w:r>
          </w:p>
        </w:tc>
        <w:tc>
          <w:tcPr>
            <w:tcW w:w="6095" w:type="dxa"/>
          </w:tcPr>
          <w:p w:rsidR="0057381D" w:rsidRPr="001744E1" w:rsidRDefault="0057381D" w:rsidP="001744E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744E1">
              <w:rPr>
                <w:rFonts w:ascii="Times New Roman" w:hAnsi="Times New Roman" w:cs="Times New Roman"/>
                <w:color w:val="000000" w:themeColor="text1"/>
                <w:sz w:val="28"/>
              </w:rPr>
              <w:t>пункт 1 части 1 статьи 11 (Установление или поддержание цен (тарифов))</w:t>
            </w:r>
          </w:p>
        </w:tc>
      </w:tr>
      <w:tr w:rsidR="0057381D" w:rsidRPr="00F70905" w:rsidTr="002B61B4">
        <w:trPr>
          <w:trHeight w:val="2878"/>
        </w:trPr>
        <w:tc>
          <w:tcPr>
            <w:tcW w:w="5070" w:type="dxa"/>
          </w:tcPr>
          <w:p w:rsidR="0057381D" w:rsidRPr="0051682B" w:rsidRDefault="0057381D" w:rsidP="002B61B4">
            <w:pPr>
              <w:rPr>
                <w:rFonts w:asciiTheme="majorHAnsi" w:hAnsiTheme="majorHAnsi"/>
                <w:sz w:val="28"/>
              </w:rPr>
            </w:pPr>
            <w:r w:rsidRPr="0051682B">
              <w:rPr>
                <w:rFonts w:asciiTheme="majorHAnsi" w:hAnsiTheme="majorHAnsi"/>
                <w:sz w:val="28"/>
              </w:rPr>
              <w:lastRenderedPageBreak/>
              <w:t>Основание для возбуждения дела</w:t>
            </w:r>
          </w:p>
        </w:tc>
        <w:tc>
          <w:tcPr>
            <w:tcW w:w="6095" w:type="dxa"/>
          </w:tcPr>
          <w:p w:rsidR="0057381D" w:rsidRPr="0051682B" w:rsidRDefault="0057381D" w:rsidP="002B61B4">
            <w:pPr>
              <w:rPr>
                <w:rFonts w:asciiTheme="majorHAnsi" w:hAnsiTheme="majorHAnsi"/>
                <w:sz w:val="28"/>
              </w:rPr>
            </w:pPr>
            <w:r w:rsidRPr="0051682B">
              <w:rPr>
                <w:rFonts w:asciiTheme="majorHAnsi" w:hAnsiTheme="majorHAnsi"/>
                <w:sz w:val="28"/>
              </w:rPr>
              <w:t>по признакам нарушения ООО «Полигон» (ИНН 1650340486) и АО «</w:t>
            </w:r>
            <w:proofErr w:type="spellStart"/>
            <w:r w:rsidRPr="0051682B">
              <w:rPr>
                <w:rFonts w:asciiTheme="majorHAnsi" w:hAnsiTheme="majorHAnsi"/>
                <w:sz w:val="28"/>
              </w:rPr>
              <w:t>Экопром</w:t>
            </w:r>
            <w:proofErr w:type="spellEnd"/>
            <w:r w:rsidRPr="0051682B">
              <w:rPr>
                <w:rFonts w:asciiTheme="majorHAnsi" w:hAnsiTheme="majorHAnsi"/>
                <w:sz w:val="28"/>
              </w:rPr>
              <w:t>» (ИНН 1650246420) пункта 1 части 1 статьи 11 Федерального закона от 26.07.2006 №135-ФЗ «О защите конкуренции», что выразилось в заключени</w:t>
            </w:r>
            <w:proofErr w:type="gramStart"/>
            <w:r w:rsidRPr="0051682B">
              <w:rPr>
                <w:rFonts w:asciiTheme="majorHAnsi" w:hAnsiTheme="majorHAnsi"/>
                <w:sz w:val="28"/>
              </w:rPr>
              <w:t>и</w:t>
            </w:r>
            <w:proofErr w:type="gramEnd"/>
            <w:r w:rsidRPr="0051682B">
              <w:rPr>
                <w:rFonts w:asciiTheme="majorHAnsi" w:hAnsiTheme="majorHAnsi"/>
                <w:sz w:val="28"/>
              </w:rPr>
              <w:t xml:space="preserve"> соглашения, которое приводит к установлению завышенного тарифа на услуги ООО «</w:t>
            </w:r>
            <w:proofErr w:type="spellStart"/>
            <w:r w:rsidRPr="0051682B">
              <w:rPr>
                <w:rFonts w:asciiTheme="majorHAnsi" w:hAnsiTheme="majorHAnsi"/>
                <w:sz w:val="28"/>
              </w:rPr>
              <w:t>КомунСервис</w:t>
            </w:r>
            <w:proofErr w:type="spellEnd"/>
            <w:r w:rsidRPr="0051682B">
              <w:rPr>
                <w:rFonts w:asciiTheme="majorHAnsi" w:hAnsiTheme="majorHAnsi"/>
                <w:sz w:val="28"/>
              </w:rPr>
              <w:t>».</w:t>
            </w:r>
          </w:p>
        </w:tc>
      </w:tr>
      <w:tr w:rsidR="0057381D" w:rsidRPr="00F70905" w:rsidTr="002B61B4">
        <w:trPr>
          <w:trHeight w:val="860"/>
        </w:trPr>
        <w:tc>
          <w:tcPr>
            <w:tcW w:w="5070" w:type="dxa"/>
          </w:tcPr>
          <w:p w:rsidR="0057381D" w:rsidRPr="0051682B" w:rsidRDefault="0057381D" w:rsidP="002B61B4">
            <w:pPr>
              <w:rPr>
                <w:rFonts w:asciiTheme="majorHAnsi" w:hAnsiTheme="majorHAnsi"/>
                <w:sz w:val="28"/>
              </w:rPr>
            </w:pPr>
            <w:r w:rsidRPr="0051682B">
              <w:rPr>
                <w:rFonts w:asciiTheme="majorHAnsi" w:hAnsiTheme="majorHAnsi"/>
                <w:sz w:val="28"/>
              </w:rPr>
              <w:t>Количество участников в картели</w:t>
            </w:r>
          </w:p>
        </w:tc>
        <w:tc>
          <w:tcPr>
            <w:tcW w:w="6095" w:type="dxa"/>
          </w:tcPr>
          <w:p w:rsidR="0057381D" w:rsidRPr="0051682B" w:rsidRDefault="0057381D" w:rsidP="002B61B4">
            <w:pPr>
              <w:rPr>
                <w:rFonts w:asciiTheme="majorHAnsi" w:hAnsiTheme="majorHAnsi"/>
                <w:sz w:val="28"/>
              </w:rPr>
            </w:pPr>
            <w:r w:rsidRPr="0051682B">
              <w:rPr>
                <w:rFonts w:asciiTheme="majorHAnsi" w:hAnsiTheme="majorHAnsi"/>
                <w:sz w:val="28"/>
              </w:rPr>
              <w:t>Компании: ООО «Полигон» (ИНН 1650340486) и АО «</w:t>
            </w:r>
            <w:proofErr w:type="spellStart"/>
            <w:r w:rsidRPr="0051682B">
              <w:rPr>
                <w:rFonts w:asciiTheme="majorHAnsi" w:hAnsiTheme="majorHAnsi"/>
                <w:sz w:val="28"/>
              </w:rPr>
              <w:t>Экопром</w:t>
            </w:r>
            <w:proofErr w:type="spellEnd"/>
            <w:r w:rsidRPr="0051682B">
              <w:rPr>
                <w:rFonts w:asciiTheme="majorHAnsi" w:hAnsiTheme="majorHAnsi"/>
                <w:sz w:val="28"/>
              </w:rPr>
              <w:t>» (ИНН 1650246420)</w:t>
            </w:r>
          </w:p>
        </w:tc>
      </w:tr>
      <w:tr w:rsidR="0057381D" w:rsidRPr="00F70905" w:rsidTr="002B61B4">
        <w:trPr>
          <w:trHeight w:val="282"/>
        </w:trPr>
        <w:tc>
          <w:tcPr>
            <w:tcW w:w="5070" w:type="dxa"/>
          </w:tcPr>
          <w:p w:rsidR="0057381D" w:rsidRPr="0051682B" w:rsidRDefault="0057381D" w:rsidP="002B61B4">
            <w:pPr>
              <w:rPr>
                <w:rFonts w:asciiTheme="majorHAnsi" w:hAnsiTheme="majorHAnsi"/>
                <w:sz w:val="28"/>
              </w:rPr>
            </w:pPr>
            <w:r w:rsidRPr="0051682B">
              <w:rPr>
                <w:rFonts w:asciiTheme="majorHAnsi" w:hAnsiTheme="majorHAnsi"/>
                <w:sz w:val="28"/>
              </w:rPr>
              <w:t>Период длительности картеля</w:t>
            </w:r>
          </w:p>
        </w:tc>
        <w:tc>
          <w:tcPr>
            <w:tcW w:w="6095" w:type="dxa"/>
          </w:tcPr>
          <w:p w:rsidR="0057381D" w:rsidRPr="0051682B" w:rsidRDefault="0057381D" w:rsidP="002B61B4">
            <w:pPr>
              <w:rPr>
                <w:rFonts w:asciiTheme="majorHAnsi" w:hAnsiTheme="majorHAnsi"/>
                <w:sz w:val="28"/>
              </w:rPr>
            </w:pPr>
            <w:r w:rsidRPr="0051682B">
              <w:rPr>
                <w:rFonts w:asciiTheme="majorHAnsi" w:hAnsiTheme="majorHAnsi"/>
                <w:sz w:val="28"/>
              </w:rPr>
              <w:t>3 года</w:t>
            </w:r>
          </w:p>
        </w:tc>
      </w:tr>
      <w:tr w:rsidR="0057381D" w:rsidRPr="00F70905" w:rsidTr="002B61B4">
        <w:trPr>
          <w:trHeight w:val="1439"/>
        </w:trPr>
        <w:tc>
          <w:tcPr>
            <w:tcW w:w="5070" w:type="dxa"/>
          </w:tcPr>
          <w:p w:rsidR="0057381D" w:rsidRPr="0051682B" w:rsidRDefault="0057381D" w:rsidP="002B61B4">
            <w:pPr>
              <w:rPr>
                <w:rFonts w:asciiTheme="majorHAnsi" w:hAnsiTheme="majorHAnsi"/>
                <w:sz w:val="28"/>
              </w:rPr>
            </w:pPr>
            <w:r w:rsidRPr="0051682B">
              <w:rPr>
                <w:rFonts w:asciiTheme="majorHAnsi" w:hAnsiTheme="majorHAnsi"/>
                <w:sz w:val="28"/>
              </w:rPr>
              <w:t>Сведения о принятом решении по делу о нарушении АМЗ</w:t>
            </w:r>
          </w:p>
        </w:tc>
        <w:tc>
          <w:tcPr>
            <w:tcW w:w="6095" w:type="dxa"/>
          </w:tcPr>
          <w:p w:rsidR="0057381D" w:rsidRPr="0051682B" w:rsidRDefault="0057381D" w:rsidP="002B61B4">
            <w:pPr>
              <w:rPr>
                <w:rFonts w:asciiTheme="majorHAnsi" w:hAnsiTheme="majorHAnsi"/>
                <w:sz w:val="28"/>
              </w:rPr>
            </w:pPr>
            <w:r w:rsidRPr="0051682B">
              <w:rPr>
                <w:rFonts w:asciiTheme="majorHAnsi" w:hAnsiTheme="majorHAnsi"/>
                <w:sz w:val="28"/>
              </w:rPr>
              <w:t>Подробности расписаны в «Решение №АР-05/702 Решение по делу №016/01/11-1230/2019 от 24 января 2020 г.»</w:t>
            </w:r>
          </w:p>
        </w:tc>
      </w:tr>
      <w:tr w:rsidR="0057381D" w:rsidRPr="00F70905" w:rsidTr="002B61B4">
        <w:trPr>
          <w:trHeight w:val="282"/>
        </w:trPr>
        <w:tc>
          <w:tcPr>
            <w:tcW w:w="5070" w:type="dxa"/>
          </w:tcPr>
          <w:p w:rsidR="0057381D" w:rsidRPr="0051682B" w:rsidRDefault="0057381D" w:rsidP="002B61B4">
            <w:pPr>
              <w:rPr>
                <w:rFonts w:asciiTheme="majorHAnsi" w:hAnsiTheme="majorHAnsi"/>
                <w:sz w:val="28"/>
              </w:rPr>
            </w:pPr>
            <w:r w:rsidRPr="0051682B">
              <w:rPr>
                <w:rFonts w:asciiTheme="majorHAnsi" w:hAnsiTheme="majorHAnsi"/>
                <w:sz w:val="28"/>
              </w:rPr>
              <w:t>Вынесенные штрафы</w:t>
            </w:r>
          </w:p>
        </w:tc>
        <w:tc>
          <w:tcPr>
            <w:tcW w:w="6095" w:type="dxa"/>
          </w:tcPr>
          <w:p w:rsidR="0057381D" w:rsidRPr="0051682B" w:rsidRDefault="0057381D" w:rsidP="002B61B4">
            <w:pPr>
              <w:rPr>
                <w:rFonts w:asciiTheme="majorHAnsi" w:hAnsiTheme="majorHAnsi"/>
                <w:sz w:val="28"/>
              </w:rPr>
            </w:pPr>
            <w:r w:rsidRPr="0051682B">
              <w:rPr>
                <w:rFonts w:asciiTheme="majorHAnsi" w:hAnsiTheme="majorHAnsi"/>
                <w:sz w:val="28"/>
              </w:rPr>
              <w:t>Отсутствуют</w:t>
            </w:r>
          </w:p>
        </w:tc>
      </w:tr>
      <w:tr w:rsidR="0057381D" w:rsidRPr="00F70905" w:rsidTr="002B61B4">
        <w:trPr>
          <w:trHeight w:val="860"/>
        </w:trPr>
        <w:tc>
          <w:tcPr>
            <w:tcW w:w="5070" w:type="dxa"/>
          </w:tcPr>
          <w:p w:rsidR="0057381D" w:rsidRPr="0051682B" w:rsidRDefault="0057381D" w:rsidP="002B61B4">
            <w:pPr>
              <w:rPr>
                <w:rFonts w:asciiTheme="majorHAnsi" w:hAnsiTheme="majorHAnsi"/>
                <w:sz w:val="28"/>
              </w:rPr>
            </w:pPr>
            <w:r w:rsidRPr="0051682B">
              <w:rPr>
                <w:rFonts w:asciiTheme="majorHAnsi" w:hAnsiTheme="majorHAnsi"/>
                <w:sz w:val="28"/>
              </w:rPr>
              <w:t>Сведения об обжаловании решений, предписаний, постановлений по делу в суде с указанием результатов.</w:t>
            </w:r>
          </w:p>
        </w:tc>
        <w:tc>
          <w:tcPr>
            <w:tcW w:w="6095" w:type="dxa"/>
          </w:tcPr>
          <w:p w:rsidR="0057381D" w:rsidRPr="0051682B" w:rsidRDefault="0057381D" w:rsidP="002B61B4">
            <w:pPr>
              <w:rPr>
                <w:rFonts w:asciiTheme="majorHAnsi" w:hAnsiTheme="majorHAnsi"/>
                <w:sz w:val="28"/>
              </w:rPr>
            </w:pPr>
            <w:r w:rsidRPr="0051682B">
              <w:rPr>
                <w:rFonts w:asciiTheme="majorHAnsi" w:hAnsiTheme="majorHAnsi"/>
                <w:sz w:val="28"/>
              </w:rPr>
              <w:t>Отсутствуют</w:t>
            </w:r>
          </w:p>
        </w:tc>
      </w:tr>
    </w:tbl>
    <w:p w:rsidR="001744E1" w:rsidRDefault="0057381D" w:rsidP="001744E1">
      <w:pPr>
        <w:rPr>
          <w:rFonts w:asciiTheme="majorHAnsi" w:hAnsiTheme="majorHAnsi"/>
          <w:b/>
          <w:i/>
          <w:sz w:val="28"/>
          <w:szCs w:val="28"/>
        </w:rPr>
      </w:pPr>
      <w:r w:rsidRPr="00F70905">
        <w:rPr>
          <w:rFonts w:asciiTheme="majorHAnsi" w:hAnsiTheme="majorHAnsi"/>
          <w:b/>
          <w:i/>
          <w:sz w:val="28"/>
          <w:szCs w:val="28"/>
        </w:rPr>
        <w:t>Кейс №4</w:t>
      </w:r>
    </w:p>
    <w:p w:rsidR="0057381D" w:rsidRPr="001744E1" w:rsidRDefault="0057381D" w:rsidP="001744E1">
      <w:pPr>
        <w:rPr>
          <w:rFonts w:asciiTheme="majorHAnsi" w:hAnsiTheme="majorHAnsi"/>
          <w:b/>
          <w:i/>
          <w:sz w:val="28"/>
          <w:szCs w:val="28"/>
        </w:rPr>
      </w:pPr>
      <w:r w:rsidRPr="00F70905">
        <w:rPr>
          <w:rFonts w:asciiTheme="majorHAnsi" w:hAnsiTheme="majorHAnsi"/>
          <w:b/>
          <w:i/>
          <w:sz w:val="28"/>
          <w:szCs w:val="28"/>
        </w:rPr>
        <w:t>№2</w:t>
      </w:r>
      <w:proofErr w:type="gramStart"/>
      <w:r w:rsidRPr="00F70905">
        <w:rPr>
          <w:rFonts w:asciiTheme="majorHAnsi" w:hAnsiTheme="majorHAnsi" w:cs="Times New Roman"/>
          <w:sz w:val="28"/>
          <w:szCs w:val="28"/>
        </w:rPr>
        <w:t xml:space="preserve"> </w:t>
      </w:r>
      <w:r w:rsidRPr="00F70905">
        <w:rPr>
          <w:rFonts w:asciiTheme="majorHAnsi" w:hAnsiTheme="majorHAnsi" w:cs="Times New Roman"/>
          <w:i/>
          <w:sz w:val="28"/>
          <w:szCs w:val="28"/>
        </w:rPr>
        <w:t>В</w:t>
      </w:r>
      <w:proofErr w:type="gramEnd"/>
      <w:r w:rsidRPr="00F70905">
        <w:rPr>
          <w:rFonts w:asciiTheme="majorHAnsi" w:hAnsiTheme="majorHAnsi" w:cs="Times New Roman"/>
          <w:i/>
          <w:sz w:val="28"/>
          <w:szCs w:val="28"/>
        </w:rPr>
        <w:t xml:space="preserve"> ходе расследования дела по фирмам </w:t>
      </w:r>
      <w:r w:rsidRPr="00814383">
        <w:rPr>
          <w:rFonts w:asciiTheme="majorHAnsi" w:hAnsiTheme="majorHAnsi"/>
          <w:sz w:val="28"/>
        </w:rPr>
        <w:t>ООО «Полигон» и АО «</w:t>
      </w:r>
      <w:proofErr w:type="spellStart"/>
      <w:r w:rsidRPr="00814383">
        <w:rPr>
          <w:rFonts w:asciiTheme="majorHAnsi" w:hAnsiTheme="majorHAnsi"/>
          <w:sz w:val="28"/>
        </w:rPr>
        <w:t>Экопром</w:t>
      </w:r>
      <w:proofErr w:type="spellEnd"/>
      <w:r w:rsidRPr="00814383">
        <w:rPr>
          <w:rFonts w:asciiTheme="majorHAnsi" w:hAnsiTheme="majorHAnsi"/>
          <w:sz w:val="28"/>
        </w:rPr>
        <w:t xml:space="preserve">» </w:t>
      </w:r>
      <w:r w:rsidRPr="00814383">
        <w:rPr>
          <w:rFonts w:asciiTheme="majorHAnsi" w:hAnsiTheme="majorHAnsi"/>
          <w:i/>
          <w:sz w:val="28"/>
        </w:rPr>
        <w:t>не использовалась программа по освобождению от наказания (ПОН)</w:t>
      </w:r>
      <w:r w:rsidRPr="00814383">
        <w:rPr>
          <w:rFonts w:asciiTheme="majorHAnsi" w:hAnsiTheme="majorHAnsi"/>
          <w:sz w:val="28"/>
        </w:rPr>
        <w:t>.</w:t>
      </w:r>
    </w:p>
    <w:p w:rsidR="0091577B" w:rsidRDefault="0091577B"/>
    <w:sectPr w:rsidR="0091577B" w:rsidSect="009C6D30">
      <w:type w:val="continuous"/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C151A"/>
    <w:multiLevelType w:val="hybridMultilevel"/>
    <w:tmpl w:val="EAF6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7381D"/>
    <w:rsid w:val="001744E1"/>
    <w:rsid w:val="00530553"/>
    <w:rsid w:val="0057381D"/>
    <w:rsid w:val="0091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8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2</cp:revision>
  <dcterms:created xsi:type="dcterms:W3CDTF">2020-03-24T10:23:00Z</dcterms:created>
  <dcterms:modified xsi:type="dcterms:W3CDTF">2020-03-24T11:05:00Z</dcterms:modified>
</cp:coreProperties>
</file>