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Основные подходы к оценке предприятия</w:t>
      </w:r>
    </w:p>
    <w:p w:rsidR="00114C0F" w:rsidRPr="00114C0F" w:rsidRDefault="00114C0F" w:rsidP="00114C0F">
      <w:pPr>
        <w:rPr>
          <w:rFonts w:ascii="Times New Roman" w:hAnsi="Times New Roman" w:cs="Times New Roman"/>
        </w:rPr>
      </w:pPr>
      <w:bookmarkStart w:id="0" w:name="_GoBack"/>
      <w:bookmarkEnd w:id="0"/>
      <w:r w:rsidRPr="00114C0F">
        <w:rPr>
          <w:rFonts w:ascii="Times New Roman" w:hAnsi="Times New Roman" w:cs="Times New Roman"/>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14C0F" w:rsidRPr="00114C0F" w:rsidRDefault="00114C0F" w:rsidP="00114C0F">
      <w:pPr>
        <w:numPr>
          <w:ilvl w:val="0"/>
          <w:numId w:val="1"/>
        </w:numPr>
        <w:rPr>
          <w:rFonts w:ascii="Times New Roman" w:hAnsi="Times New Roman" w:cs="Times New Roman"/>
        </w:rPr>
      </w:pPr>
      <w:r w:rsidRPr="00114C0F">
        <w:rPr>
          <w:rFonts w:ascii="Times New Roman" w:hAnsi="Times New Roman" w:cs="Times New Roman"/>
          <w:i/>
          <w:iCs/>
        </w:rPr>
        <w:t>Затратный подход</w:t>
      </w:r>
    </w:p>
    <w:p w:rsidR="00114C0F" w:rsidRPr="00114C0F" w:rsidRDefault="00114C0F" w:rsidP="00114C0F">
      <w:pPr>
        <w:numPr>
          <w:ilvl w:val="0"/>
          <w:numId w:val="1"/>
        </w:numPr>
        <w:rPr>
          <w:rFonts w:ascii="Times New Roman" w:hAnsi="Times New Roman" w:cs="Times New Roman"/>
        </w:rPr>
      </w:pPr>
      <w:r w:rsidRPr="00114C0F">
        <w:rPr>
          <w:rFonts w:ascii="Times New Roman" w:hAnsi="Times New Roman" w:cs="Times New Roman"/>
          <w:i/>
          <w:iCs/>
        </w:rPr>
        <w:t>Доходный подход</w:t>
      </w:r>
    </w:p>
    <w:p w:rsidR="00114C0F" w:rsidRPr="00114C0F" w:rsidRDefault="00114C0F" w:rsidP="00114C0F">
      <w:pPr>
        <w:numPr>
          <w:ilvl w:val="0"/>
          <w:numId w:val="1"/>
        </w:numPr>
        <w:rPr>
          <w:rFonts w:ascii="Times New Roman" w:hAnsi="Times New Roman" w:cs="Times New Roman"/>
        </w:rPr>
      </w:pPr>
      <w:r w:rsidRPr="00114C0F">
        <w:rPr>
          <w:rFonts w:ascii="Times New Roman" w:hAnsi="Times New Roman" w:cs="Times New Roman"/>
          <w:i/>
          <w:iCs/>
        </w:rPr>
        <w:t>Сравнительный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Затратный</w:t>
      </w:r>
      <w:r w:rsidRPr="00114C0F">
        <w:rPr>
          <w:rFonts w:ascii="Times New Roman" w:hAnsi="Times New Roman" w:cs="Times New Roman"/>
        </w:rPr>
        <w:t> подход в оценке рассматривает стоимость предприятия с точки зрения понесенных издержек. Стоимость предприятия признается равной стоимости активов предприятия, оставшихся после погашения всех обязательств.</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Доходный</w:t>
      </w:r>
      <w:r w:rsidRPr="00114C0F">
        <w:rPr>
          <w:rFonts w:ascii="Times New Roman" w:hAnsi="Times New Roman" w:cs="Times New Roman"/>
        </w:rPr>
        <w:t> подход считается наиболее приемлемым с точки зрения инвестиционных мотивов, поскольку под стоимостью предприятия в нем понимается не стоимость набора активов (здания, сооружения, машины, оборудование, нематериальные ценности и т.д.), а оценка потока будущих доходов. Доходный подход предполагает, что потенциальный инвестор не заплатит за данный бизнес сумму, большую, чем текущая стоимость будущих доходов от этого бизнеса. Причем существует две модели построения потока будущих доходов: денежный поток для собственного капитала, и для всего инвестированного капитала (учитывает и собственный и заемный капитал).</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Сравнительный</w:t>
      </w:r>
      <w:r w:rsidRPr="00114C0F">
        <w:rPr>
          <w:rFonts w:ascii="Times New Roman" w:hAnsi="Times New Roman" w:cs="Times New Roman"/>
        </w:rPr>
        <w:t> подход предполагает, что стоимость предприятия определяется тем, за сколько оно может быть продано при наличии достаточно сформированного рынка. Другими словами, наиболее вероятной величиной стоимости оцениваемого предприятия может быть реальная цена продажи аналогичного предприятия, зафиксированная рынком.</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при проведении оценки обязан использовать (или обосновать отказ от использования) все три подхода к оценке, но он вправе самостоятельно определять в рамках каждого из подходов к оценке конкретные методы оценки.</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Согласование результатов и итоговое заключение о рыночной стоимости объекта оценки.</w:t>
      </w:r>
    </w:p>
    <w:p w:rsidR="00114C0F" w:rsidRPr="00114C0F" w:rsidRDefault="00114C0F" w:rsidP="00114C0F">
      <w:pPr>
        <w:rPr>
          <w:rFonts w:ascii="Times New Roman" w:hAnsi="Times New Roman" w:cs="Times New Roman"/>
        </w:rPr>
      </w:pPr>
      <w:r w:rsidRPr="00114C0F">
        <w:rPr>
          <w:rFonts w:ascii="Times New Roman" w:hAnsi="Times New Roman" w:cs="Times New Roman"/>
        </w:rPr>
        <w:t>В зависимости от конкретной ситуации, результаты каждого из трех подходов могут в большей или меньшей степени отличаться друг от друга. Выбор итоговой оценки стоимости зависит от назначения оценки, имеющейся информации и степени ее достоверности.</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2.1. Затратный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rPr>
        <w:t>Затратный подход в оценке бизнеса рассматривает стоимость предприятия с точки зрения понесенных издержек. Для осуществления этого предварительно проводится оценка обоснованной рыночной стоимости каждого актива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Данный подход представлен двумя основными методами:</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 методом стоимости чистых активов;</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 методом ликвидационной стоимости.</w:t>
      </w:r>
    </w:p>
    <w:p w:rsidR="00114C0F" w:rsidRPr="00114C0F" w:rsidRDefault="00114C0F" w:rsidP="00114C0F">
      <w:pPr>
        <w:rPr>
          <w:rFonts w:ascii="Times New Roman" w:hAnsi="Times New Roman" w:cs="Times New Roman"/>
        </w:rPr>
      </w:pPr>
      <w:r w:rsidRPr="00114C0F">
        <w:rPr>
          <w:rFonts w:ascii="Times New Roman" w:hAnsi="Times New Roman" w:cs="Times New Roman"/>
        </w:rPr>
        <w:t>Расчет методом ликвидационной стоимости применяется при вынужденной продаже предприятия, поэтому для настоящей работы произведен расчет только методом стоимости чистых активов, который включает в себя несколько этапов:</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Оценивается имущество предприятия по обоснованной рыночной стоимости;</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lastRenderedPageBreak/>
        <w:t>Выявляются и оцениваются нематериальные активы;</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Определяется рыночная стоимость финансовых вложений, как долгосрочных, так и краткосрочных;</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Товарно-материальные запасы переводятся в текущую стоимость;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Оценивается дебиторская задолженность;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Оцениваются расходы будущих периодов;</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Обязательства предприятия переводятся в текущую стоимость.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Метод стоимости чистых активов</w:t>
      </w:r>
      <w:r w:rsidRPr="00114C0F">
        <w:rPr>
          <w:rFonts w:ascii="Times New Roman" w:hAnsi="Times New Roman" w:cs="Times New Roman"/>
        </w:rPr>
        <w:t> применяют в том случае, если компания обладает значительными материальными активами и ожидается, что будет по-прежнему действующим предприятием.</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исходных данных для оценки служит бухгалтерская отчетность предприятия, в том числе: бухгалтерский баланс, отчет о прибылях и убытках, отчет о движении денежных средств, приложения и расшифровки. Причем, предварительно следует провести инфляционную корректировку данных.</w:t>
      </w:r>
    </w:p>
    <w:p w:rsidR="00114C0F" w:rsidRPr="00114C0F" w:rsidRDefault="00114C0F" w:rsidP="00114C0F">
      <w:pPr>
        <w:rPr>
          <w:rFonts w:ascii="Times New Roman" w:hAnsi="Times New Roman" w:cs="Times New Roman"/>
        </w:rPr>
      </w:pPr>
      <w:r w:rsidRPr="00114C0F">
        <w:rPr>
          <w:rFonts w:ascii="Times New Roman" w:hAnsi="Times New Roman" w:cs="Times New Roman"/>
        </w:rPr>
        <w:t>Различают метод скорректированных чистых активов и нескорректированных чистых активов. В первом случае проводится полная корректировка статей баланса, а значит, определяется обоснованная рыночная стоимость каждого актива баланса в отдельности. Результаты расчетов по данному методу более достоверны, чем по второму, когда из-за отсутствия достаточной информации корректировка статей баланса не проводится.</w:t>
      </w:r>
    </w:p>
    <w:p w:rsidR="00114C0F" w:rsidRPr="00114C0F" w:rsidRDefault="00114C0F" w:rsidP="00114C0F">
      <w:pPr>
        <w:rPr>
          <w:rFonts w:ascii="Times New Roman" w:hAnsi="Times New Roman" w:cs="Times New Roman"/>
        </w:rPr>
      </w:pPr>
      <w:r w:rsidRPr="00114C0F">
        <w:rPr>
          <w:rFonts w:ascii="Times New Roman" w:hAnsi="Times New Roman" w:cs="Times New Roman"/>
        </w:rPr>
        <w:t>Порядок расчета стоимости чистых активов по бухгалтерской отчетности определен в Порядке оценки стоимости чистых активов акционерных обществ, утвержденном приказом Министерства финансов РФ от 5.08.96г. № 71 и Федеральной комиссии по рынку ценных бумаг от 5.08.96г. № 149.</w:t>
      </w:r>
    </w:p>
    <w:p w:rsidR="00114C0F" w:rsidRPr="00114C0F" w:rsidRDefault="00114C0F" w:rsidP="00114C0F">
      <w:pPr>
        <w:rPr>
          <w:rFonts w:ascii="Times New Roman" w:hAnsi="Times New Roman" w:cs="Times New Roman"/>
        </w:rPr>
      </w:pPr>
      <w:r w:rsidRPr="00114C0F">
        <w:rPr>
          <w:rFonts w:ascii="Times New Roman" w:hAnsi="Times New Roman" w:cs="Times New Roman"/>
          <w:u w:val="single"/>
        </w:rPr>
        <w:t>Чистые активы</w:t>
      </w:r>
      <w:r w:rsidRPr="00114C0F">
        <w:rPr>
          <w:rFonts w:ascii="Times New Roman" w:hAnsi="Times New Roman" w:cs="Times New Roman"/>
        </w:rPr>
        <w:t>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114C0F" w:rsidRPr="00114C0F" w:rsidRDefault="00114C0F" w:rsidP="00114C0F">
      <w:pPr>
        <w:rPr>
          <w:rFonts w:ascii="Times New Roman" w:hAnsi="Times New Roman" w:cs="Times New Roman"/>
        </w:rPr>
      </w:pPr>
      <w:r w:rsidRPr="00114C0F">
        <w:rPr>
          <w:rFonts w:ascii="Times New Roman" w:hAnsi="Times New Roman" w:cs="Times New Roman"/>
        </w:rPr>
        <w:t>Активы, участвующие в расчете, - это денежное и не денежное имущество предприятия, в состав которого включаются по балансовой стоимости следующие статьи:</w:t>
      </w:r>
    </w:p>
    <w:p w:rsidR="00114C0F" w:rsidRPr="00114C0F" w:rsidRDefault="00114C0F" w:rsidP="00114C0F">
      <w:pPr>
        <w:numPr>
          <w:ilvl w:val="0"/>
          <w:numId w:val="3"/>
        </w:numPr>
        <w:rPr>
          <w:rFonts w:ascii="Times New Roman" w:hAnsi="Times New Roman" w:cs="Times New Roman"/>
        </w:rPr>
      </w:pPr>
      <w:proofErr w:type="spellStart"/>
      <w:r w:rsidRPr="00114C0F">
        <w:rPr>
          <w:rFonts w:ascii="Times New Roman" w:hAnsi="Times New Roman" w:cs="Times New Roman"/>
        </w:rPr>
        <w:t>внеоборотные</w:t>
      </w:r>
      <w:proofErr w:type="spellEnd"/>
      <w:r w:rsidRPr="00114C0F">
        <w:rPr>
          <w:rFonts w:ascii="Times New Roman" w:hAnsi="Times New Roman" w:cs="Times New Roman"/>
        </w:rPr>
        <w:t xml:space="preserve"> активы, отражаемые в первом разделе баланса, за исключением балансовой стоимости собственных акций общества, выкупленных у акционеров. При этом при расчете величины чистых активов принимаются учитываемые в первом разделе бухгалтерского баланса нематериальные активы, отвечающие следующим требованиям:</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t>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и т.п.);</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t>имеющие документальное подтверждение затрат, связанных с их приобретением (созданием);</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t>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Российской Федерации;</w:t>
      </w:r>
    </w:p>
    <w:p w:rsidR="00114C0F" w:rsidRPr="00114C0F" w:rsidRDefault="00114C0F" w:rsidP="00114C0F">
      <w:pPr>
        <w:numPr>
          <w:ilvl w:val="0"/>
          <w:numId w:val="5"/>
        </w:numPr>
        <w:rPr>
          <w:rFonts w:ascii="Times New Roman" w:hAnsi="Times New Roman" w:cs="Times New Roman"/>
        </w:rPr>
      </w:pPr>
      <w:r w:rsidRPr="00114C0F">
        <w:rPr>
          <w:rFonts w:ascii="Times New Roman" w:hAnsi="Times New Roman" w:cs="Times New Roman"/>
        </w:rPr>
        <w:lastRenderedPageBreak/>
        <w:t xml:space="preserve">по статье прочие </w:t>
      </w:r>
      <w:proofErr w:type="spellStart"/>
      <w:r w:rsidRPr="00114C0F">
        <w:rPr>
          <w:rFonts w:ascii="Times New Roman" w:hAnsi="Times New Roman" w:cs="Times New Roman"/>
        </w:rPr>
        <w:t>внеоборотные</w:t>
      </w:r>
      <w:proofErr w:type="spellEnd"/>
      <w:r w:rsidRPr="00114C0F">
        <w:rPr>
          <w:rFonts w:ascii="Times New Roman" w:hAnsi="Times New Roman" w:cs="Times New Roman"/>
        </w:rPr>
        <w:t xml:space="preserve"> активы в расчет принимается задолженность акционерного общества за проданное ему имущество;</w:t>
      </w:r>
    </w:p>
    <w:p w:rsidR="00114C0F" w:rsidRPr="00114C0F" w:rsidRDefault="00114C0F" w:rsidP="00114C0F">
      <w:pPr>
        <w:numPr>
          <w:ilvl w:val="0"/>
          <w:numId w:val="5"/>
        </w:numPr>
        <w:rPr>
          <w:rFonts w:ascii="Times New Roman" w:hAnsi="Times New Roman" w:cs="Times New Roman"/>
        </w:rPr>
      </w:pPr>
      <w:r w:rsidRPr="00114C0F">
        <w:rPr>
          <w:rFonts w:ascii="Times New Roman" w:hAnsi="Times New Roman" w:cs="Times New Roman"/>
        </w:rPr>
        <w:t>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наличии у акционерного общества на конец года оценочных резервов по сомнительным долгам и под обесценение ценных бумаг -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Пассивы, участвующие в расчете, - это обязательства акционерного общества, в состав которых включаются следующие статьи:</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целевые финансирование и поступления;</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долгосрочные обязательства банкам и иным юридическим и физическим лицам;</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"Фонды потребления" и "Резервы предстоящих расходов и платежей".</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расчете по методу чистых активов не учитываются перспективы развития компании, что в данном случае существенно искажает реальную стоимость компании.</w:t>
      </w:r>
    </w:p>
    <w:p w:rsidR="00114C0F" w:rsidRPr="00114C0F" w:rsidRDefault="00114C0F" w:rsidP="00114C0F">
      <w:pPr>
        <w:rPr>
          <w:rFonts w:ascii="Times New Roman" w:hAnsi="Times New Roman" w:cs="Times New Roman"/>
        </w:rPr>
      </w:pPr>
      <w:r w:rsidRPr="00114C0F">
        <w:rPr>
          <w:rFonts w:ascii="Times New Roman" w:hAnsi="Times New Roman" w:cs="Times New Roman"/>
        </w:rPr>
        <w:t>Второй метод – </w:t>
      </w:r>
      <w:r w:rsidRPr="00114C0F">
        <w:rPr>
          <w:rFonts w:ascii="Times New Roman" w:hAnsi="Times New Roman" w:cs="Times New Roman"/>
          <w:b/>
          <w:bCs/>
          <w:i/>
          <w:iCs/>
        </w:rPr>
        <w:t>метод ликвидационной стоимости</w:t>
      </w:r>
      <w:r w:rsidRPr="00114C0F">
        <w:rPr>
          <w:rFonts w:ascii="Times New Roman" w:hAnsi="Times New Roman" w:cs="Times New Roman"/>
        </w:rPr>
        <w:t> – применяется для предприятий, которые находятся в состоянии банкротства или если стоимость компании при ликвидации будет выше, чем при продолжении деятельности. При использовании данного метода оценщик определяет валовую выручку от ликвидации активов предприятия, затем уменьшает ее на величину прямых затрат, связанных с ликвидацией предприятия, а также на величину всех обязательств предприятия.</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2.2. Сравнительный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Сравнительный подход</w:t>
      </w:r>
      <w:r w:rsidRPr="00114C0F">
        <w:rPr>
          <w:rFonts w:ascii="Times New Roman" w:hAnsi="Times New Roman" w:cs="Times New Roman"/>
        </w:rPr>
        <w:t> основан на принципе эффективно функционирующего рынка, на котором инвесторы покупают и продают активы аналогичного типа, принимая при этом независимые индивидуальные решения. Данные по аналогичным сделкам сравниваются с оцениваемыми. Преимущества и недостатки оцениваемых активов по сравнению с выбранными аналогами учитываются посредством введения соответствующих поправок.</w:t>
      </w:r>
    </w:p>
    <w:p w:rsidR="00114C0F" w:rsidRPr="00114C0F" w:rsidRDefault="00114C0F" w:rsidP="00114C0F">
      <w:pPr>
        <w:rPr>
          <w:rFonts w:ascii="Times New Roman" w:hAnsi="Times New Roman" w:cs="Times New Roman"/>
        </w:rPr>
      </w:pPr>
      <w:r w:rsidRPr="00114C0F">
        <w:rPr>
          <w:rFonts w:ascii="Times New Roman" w:hAnsi="Times New Roman" w:cs="Times New Roman"/>
        </w:rPr>
        <w:t>В зависимости от наличия и доступности информации, характеристик объекта оценки, предмета и условий предполагаемой сделки с объектом оценки в рамках сравнительного подхода применяются следующие методы:</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компании-аналога;</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сделок;</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отраслевых коэффициентов;</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компании-аналога</w:t>
      </w:r>
    </w:p>
    <w:p w:rsidR="00114C0F" w:rsidRPr="00114C0F" w:rsidRDefault="00114C0F" w:rsidP="00114C0F">
      <w:pPr>
        <w:rPr>
          <w:rFonts w:ascii="Times New Roman" w:hAnsi="Times New Roman" w:cs="Times New Roman"/>
        </w:rPr>
      </w:pPr>
      <w:r w:rsidRPr="00114C0F">
        <w:rPr>
          <w:rFonts w:ascii="Times New Roman" w:hAnsi="Times New Roman" w:cs="Times New Roman"/>
        </w:rPr>
        <w:t>Метод компании-аналога, как правило, применяется в случае, когда размер оцениваемого участия в уставном (складочном) капитале является неконтрольным.</w:t>
      </w:r>
    </w:p>
    <w:p w:rsidR="00114C0F" w:rsidRPr="00114C0F" w:rsidRDefault="00114C0F" w:rsidP="00114C0F">
      <w:pPr>
        <w:rPr>
          <w:rFonts w:ascii="Times New Roman" w:hAnsi="Times New Roman" w:cs="Times New Roman"/>
        </w:rPr>
      </w:pPr>
      <w:r w:rsidRPr="00114C0F">
        <w:rPr>
          <w:rFonts w:ascii="Times New Roman" w:hAnsi="Times New Roman" w:cs="Times New Roman"/>
        </w:rPr>
        <w:t xml:space="preserve">Источником информации о ценах сопоставимых сделок с аналогами объекта оценки являются данные о ценах сделок с акциями и другими ценными бумагами, совершаемых на открытых фондовых рынках (на биржах и в системах открытой электронной внебиржевой торговли), в </w:t>
      </w:r>
      <w:r w:rsidRPr="00114C0F">
        <w:rPr>
          <w:rFonts w:ascii="Times New Roman" w:hAnsi="Times New Roman" w:cs="Times New Roman"/>
        </w:rPr>
        <w:lastRenderedPageBreak/>
        <w:t>случае если объект такой сделки не предоставляет его владельцу какие-либо полномочия контроля.</w:t>
      </w:r>
    </w:p>
    <w:p w:rsidR="00114C0F" w:rsidRPr="00114C0F" w:rsidRDefault="00114C0F" w:rsidP="00114C0F">
      <w:pPr>
        <w:rPr>
          <w:rFonts w:ascii="Times New Roman" w:hAnsi="Times New Roman" w:cs="Times New Roman"/>
        </w:rPr>
      </w:pPr>
      <w:r w:rsidRPr="00114C0F">
        <w:rPr>
          <w:rFonts w:ascii="Times New Roman" w:hAnsi="Times New Roman" w:cs="Times New Roman"/>
        </w:rPr>
        <w:t>В случае если объектом оценки является контрольное участие, оценщик должен осуществить корректировку в размере премии за контрольное участие.</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сделок</w:t>
      </w:r>
    </w:p>
    <w:p w:rsidR="00114C0F" w:rsidRPr="00114C0F" w:rsidRDefault="00114C0F" w:rsidP="00114C0F">
      <w:pPr>
        <w:rPr>
          <w:rFonts w:ascii="Times New Roman" w:hAnsi="Times New Roman" w:cs="Times New Roman"/>
        </w:rPr>
      </w:pPr>
      <w:r w:rsidRPr="00114C0F">
        <w:rPr>
          <w:rFonts w:ascii="Times New Roman" w:hAnsi="Times New Roman" w:cs="Times New Roman"/>
        </w:rPr>
        <w:t>Метод сделок, как правило, применяется в случае, когда размер оцениваемого участия в уставном (складочном) капитале является контрольным.</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информации о ценах сопоставимых сделок с аналогами объекта оценки являются: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данные о ценах сделок с акциями и другими ценными бумагами, долями (вкладами) в уставных (складочных) капиталах, в случае если объект такой сделки предоставляет его владельцу все или некоторые полномочия контроля;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данные о ценах сделок в форме слияний, присоединений (поглощений) или продажи предприятия (бизнеса) в целом.</w:t>
      </w:r>
    </w:p>
    <w:p w:rsidR="00114C0F" w:rsidRPr="00114C0F" w:rsidRDefault="00114C0F" w:rsidP="00114C0F">
      <w:pPr>
        <w:rPr>
          <w:rFonts w:ascii="Times New Roman" w:hAnsi="Times New Roman" w:cs="Times New Roman"/>
        </w:rPr>
      </w:pPr>
      <w:r w:rsidRPr="00114C0F">
        <w:rPr>
          <w:rFonts w:ascii="Times New Roman" w:hAnsi="Times New Roman" w:cs="Times New Roman"/>
        </w:rPr>
        <w:t>В случае если объектом оценки является неконтрольное участие оценщик должен осуществить корректировку в размере скидки за неконтрольное участие.</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отраслевых коэффициентов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информации являются, как правило, данные специализированных отраслевых исследований (обзоров), составленных на основе анализа не менее чем половины предприятий данной отрасли, сопоставимых по размеру с оцениваемым.</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осуществляет и отражает в отчете действия, направленные на установление соответствия результатов таких исследований, применяемым методам оценки, принципам оценки, характеристикам объекта оценки, предмету и условиям предполагаемой сделки с объектом оценки.</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должен проверить и отразить в отчете соответствие результатов, полученных при применении данного метода, результатам, полученным с использованием других подходов и методов оценки.</w:t>
      </w:r>
    </w:p>
    <w:p w:rsidR="00114C0F" w:rsidRPr="00114C0F" w:rsidRDefault="00114C0F" w:rsidP="00114C0F">
      <w:pPr>
        <w:rPr>
          <w:rFonts w:ascii="Times New Roman" w:hAnsi="Times New Roman" w:cs="Times New Roman"/>
        </w:rPr>
      </w:pPr>
      <w:r w:rsidRPr="00114C0F">
        <w:rPr>
          <w:rFonts w:ascii="Times New Roman" w:hAnsi="Times New Roman" w:cs="Times New Roman"/>
        </w:rPr>
        <w:t>Как правило, результаты, полученные при применении данного метода, являются индикативными и не применяются при выведении итоговой величины стоимости или им придается наименьший удельный вес.</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2.3. Доходный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Применяется доходный подход в тех случаях, когда есть возможность составить представление о дальнейшем развитии компании (построить финансовую модель). В рамках доходного подхода используют метод капитализации и метод дисконтирования.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Оценка доходным подходом предполагает построение прогноза доходов. В зависимости от равномерности поступления доходов выбирается либо метод капитализации, либо метод дисконтирования.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Если будущие доходы будут примерно равны текущим или темпы их роста постоянны, то применяют метод капитализации. Метод капитализации предполагает также неопределенно долгий срок функционирования бизнеса.</w:t>
      </w:r>
    </w:p>
    <w:p w:rsidR="00114C0F" w:rsidRPr="00114C0F" w:rsidRDefault="00114C0F" w:rsidP="00114C0F">
      <w:pPr>
        <w:rPr>
          <w:rFonts w:ascii="Times New Roman" w:hAnsi="Times New Roman" w:cs="Times New Roman"/>
        </w:rPr>
      </w:pPr>
      <w:r w:rsidRPr="00114C0F">
        <w:rPr>
          <w:rFonts w:ascii="Times New Roman" w:hAnsi="Times New Roman" w:cs="Times New Roman"/>
        </w:rPr>
        <w:t>Метод дисконтирования применяется при непостоянных финансовых показателях, а также в тех случаях, когда функционирование бизнеса прекращается (независимо от причин) в обозримой перспективе, или предполагается выход из бизнеса. Оценка данным методом включает составление прогноза денежных потоков на каждый год прогнозного периода.</w:t>
      </w:r>
    </w:p>
    <w:p w:rsidR="00114C0F" w:rsidRPr="00114C0F" w:rsidRDefault="00114C0F" w:rsidP="00114C0F">
      <w:pPr>
        <w:rPr>
          <w:rFonts w:ascii="Times New Roman" w:hAnsi="Times New Roman" w:cs="Times New Roman"/>
        </w:rPr>
      </w:pPr>
      <w:r w:rsidRPr="00114C0F">
        <w:rPr>
          <w:rFonts w:ascii="Times New Roman" w:hAnsi="Times New Roman" w:cs="Times New Roman"/>
        </w:rPr>
        <w:lastRenderedPageBreak/>
        <w:t xml:space="preserve">Далее определяется величина стоимости компании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 Определяется предварительная величина стоимости бизнеса как сумма текущей стоимости денежных потоков в течение прогнозного периода и текущего значения стоимости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 При необходимости вносятся поправки (в частности, учитывается скидка за неконтрольный характер и скидка за недостаточную ликвидность) и определяется окончательная величина рыночной стоимости компании.</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Метод дисконтированных денежных потоков.</w:t>
      </w:r>
    </w:p>
    <w:p w:rsidR="00114C0F" w:rsidRPr="00114C0F" w:rsidRDefault="00114C0F" w:rsidP="00114C0F">
      <w:pPr>
        <w:rPr>
          <w:rFonts w:ascii="Times New Roman" w:hAnsi="Times New Roman" w:cs="Times New Roman"/>
        </w:rPr>
      </w:pPr>
      <w:r w:rsidRPr="00114C0F">
        <w:rPr>
          <w:rFonts w:ascii="Times New Roman" w:hAnsi="Times New Roman" w:cs="Times New Roman"/>
        </w:rPr>
        <w:t>Стоимость Компании по данному методу равна сумме приведенных (дисконтированных) к настоящему времени будущих свободных денежных потоков Компании, то есть рассчитывается по следующей формуле:</w:t>
      </w:r>
    </w:p>
    <w:p w:rsidR="00114C0F" w:rsidRPr="00114C0F" w:rsidRDefault="00114C0F" w:rsidP="00114C0F">
      <w:pPr>
        <w:rPr>
          <w:rFonts w:ascii="Times New Roman" w:hAnsi="Times New Roman" w:cs="Times New Roman"/>
          <w:lang w:val="en-GB"/>
        </w:rPr>
      </w:pPr>
      <w:r w:rsidRPr="00114C0F">
        <w:rPr>
          <w:rFonts w:ascii="Times New Roman" w:hAnsi="Times New Roman" w:cs="Times New Roman"/>
          <w:b/>
          <w:bCs/>
          <w:lang w:val="en-GB"/>
        </w:rPr>
        <w:t>PV = </w:t>
      </w:r>
      <w:r w:rsidRPr="00114C0F">
        <w:rPr>
          <w:rFonts w:ascii="Times New Roman" w:hAnsi="Times New Roman" w:cs="Times New Roman"/>
          <w:b/>
          <w:bCs/>
          <w:i/>
          <w:iCs/>
          <w:lang w:val="en-GB"/>
        </w:rPr>
        <w:sym w:font="Symbol" w:char="F053"/>
      </w:r>
      <w:r w:rsidRPr="00114C0F">
        <w:rPr>
          <w:rFonts w:ascii="Times New Roman" w:hAnsi="Times New Roman" w:cs="Times New Roman"/>
          <w:b/>
          <w:bCs/>
          <w:lang w:val="en-GB"/>
        </w:rPr>
        <w:t>(</w:t>
      </w:r>
      <w:proofErr w:type="spellStart"/>
      <w:r w:rsidRPr="00114C0F">
        <w:rPr>
          <w:rFonts w:ascii="Times New Roman" w:hAnsi="Times New Roman" w:cs="Times New Roman"/>
          <w:b/>
          <w:bCs/>
          <w:lang w:val="en-GB"/>
        </w:rPr>
        <w:t>CF</w:t>
      </w:r>
      <w:r w:rsidRPr="00114C0F">
        <w:rPr>
          <w:rFonts w:ascii="Times New Roman" w:hAnsi="Times New Roman" w:cs="Times New Roman"/>
          <w:b/>
          <w:bCs/>
          <w:vertAlign w:val="subscript"/>
          <w:lang w:val="en-GB"/>
        </w:rPr>
        <w:t>i</w:t>
      </w:r>
      <w:proofErr w:type="spellEnd"/>
      <w:proofErr w:type="gramStart"/>
      <w:r w:rsidRPr="00114C0F">
        <w:rPr>
          <w:rFonts w:ascii="Times New Roman" w:hAnsi="Times New Roman" w:cs="Times New Roman"/>
          <w:b/>
          <w:bCs/>
          <w:lang w:val="en-GB"/>
        </w:rPr>
        <w:t>/(</w:t>
      </w:r>
      <w:proofErr w:type="gramEnd"/>
      <w:r w:rsidRPr="00114C0F">
        <w:rPr>
          <w:rFonts w:ascii="Times New Roman" w:hAnsi="Times New Roman" w:cs="Times New Roman"/>
          <w:b/>
          <w:bCs/>
          <w:lang w:val="en-GB"/>
        </w:rPr>
        <w:t>1+r)</w:t>
      </w:r>
      <w:proofErr w:type="spellStart"/>
      <w:r w:rsidRPr="00114C0F">
        <w:rPr>
          <w:rFonts w:ascii="Times New Roman" w:hAnsi="Times New Roman" w:cs="Times New Roman"/>
          <w:b/>
          <w:bCs/>
          <w:vertAlign w:val="superscript"/>
          <w:lang w:val="en-GB"/>
        </w:rPr>
        <w:t>i</w:t>
      </w:r>
      <w:proofErr w:type="spellEnd"/>
      <w:r w:rsidRPr="00114C0F">
        <w:rPr>
          <w:rFonts w:ascii="Times New Roman" w:hAnsi="Times New Roman" w:cs="Times New Roman"/>
          <w:b/>
          <w:bCs/>
          <w:lang w:val="en-GB"/>
        </w:rPr>
        <w:t>)</w:t>
      </w:r>
    </w:p>
    <w:tbl>
      <w:tblPr>
        <w:tblW w:w="12326"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80" w:type="dxa"/>
          <w:left w:w="80" w:type="dxa"/>
          <w:bottom w:w="80" w:type="dxa"/>
          <w:right w:w="80" w:type="dxa"/>
        </w:tblCellMar>
        <w:tblLook w:val="04A0" w:firstRow="1" w:lastRow="0" w:firstColumn="1" w:lastColumn="0" w:noHBand="0" w:noVBand="1"/>
      </w:tblPr>
      <w:tblGrid>
        <w:gridCol w:w="1284"/>
        <w:gridCol w:w="11042"/>
      </w:tblGrid>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Где:</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GB"/>
              </w:rPr>
            </w:pPr>
            <w:r w:rsidRPr="00114C0F">
              <w:rPr>
                <w:rFonts w:ascii="Times New Roman" w:hAnsi="Times New Roman" w:cs="Times New Roman"/>
                <w:b/>
                <w:bCs/>
                <w:lang w:val="en-GB"/>
              </w:rPr>
              <w:t>PV</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текущая суммарная стоимость будущих потоков свободных денежных средств;</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proofErr w:type="spellStart"/>
            <w:r w:rsidRPr="00114C0F">
              <w:rPr>
                <w:rFonts w:ascii="Times New Roman" w:hAnsi="Times New Roman" w:cs="Times New Roman"/>
                <w:b/>
                <w:bCs/>
                <w:lang w:val="en-US"/>
              </w:rPr>
              <w:t>Cfi</w:t>
            </w:r>
            <w:proofErr w:type="spellEnd"/>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свободный поток денежных средств за период</w:t>
            </w:r>
            <w:r w:rsidRPr="00114C0F">
              <w:rPr>
                <w:rFonts w:ascii="Times New Roman" w:hAnsi="Times New Roman" w:cs="Times New Roman"/>
                <w:lang w:val="en-GB"/>
              </w:rPr>
              <w:t> </w:t>
            </w:r>
            <w:proofErr w:type="spellStart"/>
            <w:r w:rsidRPr="00114C0F">
              <w:rPr>
                <w:rFonts w:ascii="Times New Roman" w:hAnsi="Times New Roman" w:cs="Times New Roman"/>
                <w:i/>
                <w:iCs/>
                <w:lang w:val="en-GB"/>
              </w:rPr>
              <w:t>i</w:t>
            </w:r>
            <w:proofErr w:type="spellEnd"/>
            <w:r w:rsidRPr="00114C0F">
              <w:rPr>
                <w:rFonts w:ascii="Times New Roman" w:hAnsi="Times New Roman" w:cs="Times New Roman"/>
              </w:rPr>
              <w:t>;</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r w:rsidRPr="00114C0F">
              <w:rPr>
                <w:rFonts w:ascii="Times New Roman" w:hAnsi="Times New Roman" w:cs="Times New Roman"/>
                <w:b/>
                <w:bCs/>
                <w:lang w:val="en-US"/>
              </w:rPr>
              <w:t>R</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ставка дисконтирования;</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r w:rsidRPr="00114C0F">
              <w:rPr>
                <w:rFonts w:ascii="Times New Roman" w:hAnsi="Times New Roman" w:cs="Times New Roman"/>
                <w:b/>
                <w:bCs/>
                <w:lang w:val="en-US"/>
              </w:rPr>
              <w:t>I</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порядковый номер периода дисконтирования.</w:t>
            </w:r>
          </w:p>
        </w:tc>
      </w:tr>
    </w:tbl>
    <w:p w:rsidR="00114C0F" w:rsidRPr="00114C0F" w:rsidRDefault="00114C0F" w:rsidP="00114C0F">
      <w:pPr>
        <w:rPr>
          <w:rFonts w:ascii="Times New Roman" w:hAnsi="Times New Roman" w:cs="Times New Roman"/>
        </w:rPr>
      </w:pPr>
      <w:r w:rsidRPr="00114C0F">
        <w:rPr>
          <w:rFonts w:ascii="Times New Roman" w:hAnsi="Times New Roman" w:cs="Times New Roman"/>
        </w:rPr>
        <w:t>Таким образом, метод дисконтированных денежных потоков предусматривает:</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определение горизонта прогноза;</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построение прогнозных денежных потоков;</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 xml:space="preserve">расчет стоимости компании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выбор ставки дисконтирования;</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расчет предварительной стоимости компании;</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внесение поправок и расчет итоговой стоимости.</w:t>
      </w:r>
    </w:p>
    <w:p w:rsidR="00114C0F" w:rsidRPr="00114C0F" w:rsidRDefault="00114C0F" w:rsidP="00114C0F">
      <w:pPr>
        <w:rPr>
          <w:rFonts w:ascii="Times New Roman" w:hAnsi="Times New Roman" w:cs="Times New Roman"/>
        </w:rPr>
      </w:pPr>
      <w:r w:rsidRPr="00114C0F">
        <w:rPr>
          <w:rFonts w:ascii="Times New Roman" w:hAnsi="Times New Roman" w:cs="Times New Roman"/>
        </w:rPr>
        <w:t xml:space="preserve">Для расчета стоимости бизнеса в </w:t>
      </w:r>
      <w:proofErr w:type="spellStart"/>
      <w:r w:rsidRPr="00114C0F">
        <w:rPr>
          <w:rFonts w:ascii="Times New Roman" w:hAnsi="Times New Roman" w:cs="Times New Roman"/>
        </w:rPr>
        <w:t>постпрогнозном</w:t>
      </w:r>
      <w:proofErr w:type="spellEnd"/>
      <w:r w:rsidRPr="00114C0F">
        <w:rPr>
          <w:rFonts w:ascii="Times New Roman" w:hAnsi="Times New Roman" w:cs="Times New Roman"/>
        </w:rPr>
        <w:t xml:space="preserve"> периоде могут применяться несколько методов:</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расчета по ликвидационной стоимости (если в остаточном периоде ожидается распродажа, по тем или иным причинам, активов компании);</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расчета по стоимости чистых активов (применим для стабильной компании со значительными материальными активами);</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предполагаемой продажи (на основе ретроспективных данных по продажам аналогичных компаний);</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«модель Гордона».</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Метод капитализации.</w:t>
      </w:r>
    </w:p>
    <w:p w:rsidR="00114C0F" w:rsidRPr="00114C0F" w:rsidRDefault="00114C0F" w:rsidP="00114C0F">
      <w:pPr>
        <w:rPr>
          <w:rFonts w:ascii="Times New Roman" w:hAnsi="Times New Roman" w:cs="Times New Roman"/>
        </w:rPr>
      </w:pPr>
      <w:r w:rsidRPr="00114C0F">
        <w:rPr>
          <w:rFonts w:ascii="Times New Roman" w:hAnsi="Times New Roman" w:cs="Times New Roman"/>
        </w:rPr>
        <w:t xml:space="preserve">Как и метод дисконтирования, метод капитализации исходит из предпосылки, что стоимость бизнеса определяется текущей стоимостью его будущих доходов. Этот метод чаще всего применяется тогда, когда есть основания предполагать, что доходы компании будут стабильны и </w:t>
      </w:r>
      <w:r w:rsidRPr="00114C0F">
        <w:rPr>
          <w:rFonts w:ascii="Times New Roman" w:hAnsi="Times New Roman" w:cs="Times New Roman"/>
        </w:rPr>
        <w:lastRenderedPageBreak/>
        <w:t>она будет функционировать неопределенно долго. Применение метода предусматривает реализацию следующих процедур:</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анализ и подготовка финансовой отчетности;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оценка капитализируемой прибыли;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расчет ставки капитализации;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расчет предварительной стоимости компании;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наличие нефункционирующих активов;</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размер доли акционерного капитала;</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ликвидность.</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анализе финансовой отчетности выявляются разовые и нерегулярные доходы и расходы, рассчитывается свободный денежный поток и выполняются все другие необходимые расчетные процедуры.</w:t>
      </w:r>
    </w:p>
    <w:p w:rsidR="00114C0F" w:rsidRPr="00114C0F" w:rsidRDefault="00114C0F" w:rsidP="00114C0F">
      <w:pPr>
        <w:rPr>
          <w:rFonts w:ascii="Times New Roman" w:hAnsi="Times New Roman" w:cs="Times New Roman"/>
        </w:rPr>
      </w:pPr>
      <w:proofErr w:type="gramStart"/>
      <w:r w:rsidRPr="00114C0F">
        <w:rPr>
          <w:rFonts w:ascii="Times New Roman" w:hAnsi="Times New Roman" w:cs="Times New Roman"/>
        </w:rPr>
        <w:t>При оценке</w:t>
      </w:r>
      <w:proofErr w:type="gramEnd"/>
      <w:r w:rsidRPr="00114C0F">
        <w:rPr>
          <w:rFonts w:ascii="Times New Roman" w:hAnsi="Times New Roman" w:cs="Times New Roman"/>
        </w:rPr>
        <w:t xml:space="preserve"> капитализируемой прибыли решается, что будет принято за основу: прибыль или денежный проток, проводится усреднение и иные корректировки выбранного показателя.</w:t>
      </w:r>
    </w:p>
    <w:p w:rsidR="006244B6" w:rsidRDefault="006244B6"/>
    <w:sectPr w:rsidR="00624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47"/>
    <w:multiLevelType w:val="multilevel"/>
    <w:tmpl w:val="C06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3141"/>
    <w:multiLevelType w:val="multilevel"/>
    <w:tmpl w:val="93F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F2343"/>
    <w:multiLevelType w:val="multilevel"/>
    <w:tmpl w:val="E54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053B"/>
    <w:multiLevelType w:val="multilevel"/>
    <w:tmpl w:val="91A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E87"/>
    <w:multiLevelType w:val="multilevel"/>
    <w:tmpl w:val="A9A47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52902"/>
    <w:multiLevelType w:val="multilevel"/>
    <w:tmpl w:val="D39E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F0819"/>
    <w:multiLevelType w:val="multilevel"/>
    <w:tmpl w:val="C41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3425C"/>
    <w:multiLevelType w:val="multilevel"/>
    <w:tmpl w:val="F2EC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930B3"/>
    <w:multiLevelType w:val="multilevel"/>
    <w:tmpl w:val="1662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lvlOverride w:ilvl="0">
      <w:startOverride w:val="1"/>
    </w:lvlOverride>
  </w:num>
  <w:num w:numId="3">
    <w:abstractNumId w:val="7"/>
    <w:lvlOverride w:ilvl="0">
      <w:startOverride w:val="1"/>
    </w:lvlOverride>
  </w:num>
  <w:num w:numId="4">
    <w:abstractNumId w:val="3"/>
  </w:num>
  <w:num w:numId="5">
    <w:abstractNumId w:val="4"/>
  </w:num>
  <w:num w:numId="6">
    <w:abstractNumId w:val="6"/>
    <w:lvlOverride w:ilvl="0">
      <w:startOverride w:val="1"/>
    </w:lvlOverride>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D6"/>
    <w:rsid w:val="00114C0F"/>
    <w:rsid w:val="003547D6"/>
    <w:rsid w:val="0062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91487-06C2-4267-857A-F6A01D97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Магфурова</dc:creator>
  <cp:keywords/>
  <dc:description/>
  <cp:lastModifiedBy>Алина Магфурова</cp:lastModifiedBy>
  <cp:revision>2</cp:revision>
  <dcterms:created xsi:type="dcterms:W3CDTF">2020-04-14T06:45:00Z</dcterms:created>
  <dcterms:modified xsi:type="dcterms:W3CDTF">2020-04-14T06:45:00Z</dcterms:modified>
</cp:coreProperties>
</file>