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C0F" w:rsidRPr="00DE351A" w:rsidRDefault="00114C0F" w:rsidP="00DE351A">
      <w:pPr>
        <w:spacing w:line="360" w:lineRule="auto"/>
        <w:jc w:val="both"/>
        <w:rPr>
          <w:rFonts w:ascii="Times New Roman" w:hAnsi="Times New Roman" w:cs="Times New Roman"/>
        </w:rPr>
      </w:pPr>
      <w:bookmarkStart w:id="0" w:name="_GoBack"/>
      <w:bookmarkEnd w:id="0"/>
      <w:r w:rsidRPr="00DE351A">
        <w:rPr>
          <w:rFonts w:ascii="Times New Roman" w:hAnsi="Times New Roman" w:cs="Times New Roman"/>
        </w:rPr>
        <w:t>Выбор метода оценки во многом зависит от того, в каком финансовом состоянии находится предприятие в данный момент и каковы его перспективы. В зависимости от состояния и перспектив развития бизнеса расчет стоимости компании может основываться на применении следующих подходов:</w:t>
      </w:r>
    </w:p>
    <w:p w:rsidR="00114C0F" w:rsidRPr="00DE351A" w:rsidRDefault="00114C0F" w:rsidP="00DE351A">
      <w:pPr>
        <w:numPr>
          <w:ilvl w:val="0"/>
          <w:numId w:val="1"/>
        </w:numPr>
        <w:spacing w:line="360" w:lineRule="auto"/>
        <w:jc w:val="both"/>
        <w:rPr>
          <w:rFonts w:ascii="Times New Roman" w:hAnsi="Times New Roman" w:cs="Times New Roman"/>
        </w:rPr>
      </w:pPr>
      <w:r w:rsidRPr="00DE351A">
        <w:rPr>
          <w:rFonts w:ascii="Times New Roman" w:hAnsi="Times New Roman" w:cs="Times New Roman"/>
          <w:iCs/>
        </w:rPr>
        <w:t>Затратный подход</w:t>
      </w:r>
    </w:p>
    <w:p w:rsidR="00114C0F" w:rsidRPr="00DE351A" w:rsidRDefault="00114C0F" w:rsidP="00DE351A">
      <w:pPr>
        <w:numPr>
          <w:ilvl w:val="0"/>
          <w:numId w:val="1"/>
        </w:numPr>
        <w:spacing w:line="360" w:lineRule="auto"/>
        <w:jc w:val="both"/>
        <w:rPr>
          <w:rFonts w:ascii="Times New Roman" w:hAnsi="Times New Roman" w:cs="Times New Roman"/>
        </w:rPr>
      </w:pPr>
      <w:r w:rsidRPr="00DE351A">
        <w:rPr>
          <w:rFonts w:ascii="Times New Roman" w:hAnsi="Times New Roman" w:cs="Times New Roman"/>
          <w:iCs/>
        </w:rPr>
        <w:t>Доходный подход</w:t>
      </w:r>
    </w:p>
    <w:p w:rsidR="00114C0F" w:rsidRPr="00DE351A" w:rsidRDefault="00114C0F" w:rsidP="00DE351A">
      <w:pPr>
        <w:numPr>
          <w:ilvl w:val="0"/>
          <w:numId w:val="1"/>
        </w:numPr>
        <w:spacing w:line="360" w:lineRule="auto"/>
        <w:jc w:val="both"/>
        <w:rPr>
          <w:rFonts w:ascii="Times New Roman" w:hAnsi="Times New Roman" w:cs="Times New Roman"/>
        </w:rPr>
      </w:pPr>
      <w:r w:rsidRPr="00DE351A">
        <w:rPr>
          <w:rFonts w:ascii="Times New Roman" w:hAnsi="Times New Roman" w:cs="Times New Roman"/>
          <w:iCs/>
        </w:rPr>
        <w:t>Сравнительный подход</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iCs/>
        </w:rPr>
        <w:t>Затратный</w:t>
      </w:r>
      <w:r w:rsidRPr="00DE351A">
        <w:rPr>
          <w:rFonts w:ascii="Times New Roman" w:hAnsi="Times New Roman" w:cs="Times New Roman"/>
        </w:rPr>
        <w:t> подход в оценке рассматривает стоимость предприятия с точки зрения понесенных издержек. Стоимость предприятия признается равной стоимости активов предприятия, оставшихся после погашения всех обязательств.</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iCs/>
        </w:rPr>
        <w:t>Доходный</w:t>
      </w:r>
      <w:r w:rsidRPr="00DE351A">
        <w:rPr>
          <w:rFonts w:ascii="Times New Roman" w:hAnsi="Times New Roman" w:cs="Times New Roman"/>
        </w:rPr>
        <w:t> подход считается наиболее приемлемым с точки зрения инвестиционных мотивов, поскольку под стоимостью предприятия в нем понимается не стоимость набора активов (здания, сооружения, машины, оборудование, нематериальные ценности и т.д.), а оценка потока будущих доходов. Доходный подход предполагает, что потенциальный инвестор не заплатит за данный бизнес сумму, большую, чем текущая стоимость будущих доходов от этого бизнеса. Причем существует две модели построения потока будущих доходов: денежный поток для собственного капитала, и для всего инвестированного капитала (учитывает и собственный и заемный капитал).</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iCs/>
        </w:rPr>
        <w:t>Сравнительный</w:t>
      </w:r>
      <w:r w:rsidRPr="00DE351A">
        <w:rPr>
          <w:rFonts w:ascii="Times New Roman" w:hAnsi="Times New Roman" w:cs="Times New Roman"/>
        </w:rPr>
        <w:t> подход предполагает, что стоимость предприятия определяется тем, за сколько оно может быть продано при наличии достаточно сформированного рынка. Другими словами, наиболее вероятной величиной стоимости оцениваемого предприятия может быть реальная цена продажи аналогичного предприятия, зафиксированная рынком.</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rPr>
        <w:t>Оценщик при проведении оценки обязан использовать (или обосновать отказ от использования) все три подхода к оценке, но он вправе самостоятельно определять в рамках каждого из подходов к оценке конкретные методы оценки.</w:t>
      </w:r>
    </w:p>
    <w:p w:rsidR="00114C0F" w:rsidRPr="00DE351A" w:rsidRDefault="00114C0F" w:rsidP="00DE351A">
      <w:pPr>
        <w:spacing w:line="360" w:lineRule="auto"/>
        <w:jc w:val="both"/>
        <w:rPr>
          <w:rFonts w:ascii="Times New Roman" w:hAnsi="Times New Roman" w:cs="Times New Roman"/>
          <w:bCs/>
        </w:rPr>
      </w:pPr>
      <w:r w:rsidRPr="00DE351A">
        <w:rPr>
          <w:rFonts w:ascii="Times New Roman" w:hAnsi="Times New Roman" w:cs="Times New Roman"/>
          <w:bCs/>
        </w:rPr>
        <w:t>Согласование результатов и итоговое заключение о рыночной стоимости объекта оценки.</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rPr>
        <w:t>В зависимости от конкретной ситуации, результаты каждого из трех подходов могут в большей или меньшей степени отличаться друг от друга. Выбор итоговой оценки стоимости зависит от назначения оценки, имеющейся информации и степени ее достоверности.</w:t>
      </w:r>
    </w:p>
    <w:p w:rsidR="00114C0F" w:rsidRPr="00DE351A" w:rsidRDefault="00114C0F" w:rsidP="00DE351A">
      <w:pPr>
        <w:spacing w:line="360" w:lineRule="auto"/>
        <w:jc w:val="both"/>
        <w:rPr>
          <w:rFonts w:ascii="Times New Roman" w:hAnsi="Times New Roman" w:cs="Times New Roman"/>
          <w:bCs/>
        </w:rPr>
      </w:pPr>
      <w:r w:rsidRPr="00DE351A">
        <w:rPr>
          <w:rFonts w:ascii="Times New Roman" w:hAnsi="Times New Roman" w:cs="Times New Roman"/>
          <w:bCs/>
        </w:rPr>
        <w:t>2.1. Затратный подход.</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rPr>
        <w:t xml:space="preserve">Затратный подход в оценке бизнеса рассматривает стоимость предприятия с точки зрения понесенных издержек. Для осуществления этого предварительно проводится оценка обоснованной рыночной стоимости каждого актива в отдельности, затем определяется текущая стоимость обязательств и, наконец, из обоснованной рыночной стоимости суммы активов предприятия </w:t>
      </w:r>
      <w:r w:rsidRPr="00DE351A">
        <w:rPr>
          <w:rFonts w:ascii="Times New Roman" w:hAnsi="Times New Roman" w:cs="Times New Roman"/>
        </w:rPr>
        <w:lastRenderedPageBreak/>
        <w:t>вычитается текущая стоимость всех его обязательств, результат показывает оценочную стоимость собственного капитала предприятия.</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rPr>
        <w:t>Данный подход представлен двумя основными методами:</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bCs/>
          <w:iCs/>
        </w:rPr>
        <w:t>- методом стоимости чистых активов;</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bCs/>
          <w:iCs/>
        </w:rPr>
        <w:t>- методом ликвидационной стоимости.</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rPr>
        <w:t>Расчет методом ликвидационной стоимости применяется при вынужденной продаже предприятия, поэтому для настоящей работы произведен расчет только методом стоимости чистых активов, который включает в себя несколько этапов:</w:t>
      </w:r>
    </w:p>
    <w:p w:rsidR="00114C0F" w:rsidRPr="00DE351A" w:rsidRDefault="00114C0F" w:rsidP="00DE351A">
      <w:pPr>
        <w:numPr>
          <w:ilvl w:val="0"/>
          <w:numId w:val="2"/>
        </w:numPr>
        <w:spacing w:line="360" w:lineRule="auto"/>
        <w:jc w:val="both"/>
        <w:rPr>
          <w:rFonts w:ascii="Times New Roman" w:hAnsi="Times New Roman" w:cs="Times New Roman"/>
        </w:rPr>
      </w:pPr>
      <w:r w:rsidRPr="00DE351A">
        <w:rPr>
          <w:rFonts w:ascii="Times New Roman" w:hAnsi="Times New Roman" w:cs="Times New Roman"/>
        </w:rPr>
        <w:t>Оценивается имущество предприятия по обоснованной рыночной стоимости;</w:t>
      </w:r>
    </w:p>
    <w:p w:rsidR="00114C0F" w:rsidRPr="00DE351A" w:rsidRDefault="00114C0F" w:rsidP="00DE351A">
      <w:pPr>
        <w:numPr>
          <w:ilvl w:val="0"/>
          <w:numId w:val="2"/>
        </w:numPr>
        <w:spacing w:line="360" w:lineRule="auto"/>
        <w:jc w:val="both"/>
        <w:rPr>
          <w:rFonts w:ascii="Times New Roman" w:hAnsi="Times New Roman" w:cs="Times New Roman"/>
        </w:rPr>
      </w:pPr>
      <w:r w:rsidRPr="00DE351A">
        <w:rPr>
          <w:rFonts w:ascii="Times New Roman" w:hAnsi="Times New Roman" w:cs="Times New Roman"/>
        </w:rPr>
        <w:t>Выявляются и оцениваются нематериальные активы;</w:t>
      </w:r>
    </w:p>
    <w:p w:rsidR="00114C0F" w:rsidRPr="00DE351A" w:rsidRDefault="00114C0F" w:rsidP="00DE351A">
      <w:pPr>
        <w:numPr>
          <w:ilvl w:val="0"/>
          <w:numId w:val="2"/>
        </w:numPr>
        <w:spacing w:line="360" w:lineRule="auto"/>
        <w:jc w:val="both"/>
        <w:rPr>
          <w:rFonts w:ascii="Times New Roman" w:hAnsi="Times New Roman" w:cs="Times New Roman"/>
        </w:rPr>
      </w:pPr>
      <w:r w:rsidRPr="00DE351A">
        <w:rPr>
          <w:rFonts w:ascii="Times New Roman" w:hAnsi="Times New Roman" w:cs="Times New Roman"/>
        </w:rPr>
        <w:t>Определяется рыночная стоимость финансовых вложений, как долгосрочных, так и краткосрочных;</w:t>
      </w:r>
    </w:p>
    <w:p w:rsidR="00114C0F" w:rsidRPr="00DE351A" w:rsidRDefault="00114C0F" w:rsidP="00DE351A">
      <w:pPr>
        <w:numPr>
          <w:ilvl w:val="0"/>
          <w:numId w:val="2"/>
        </w:numPr>
        <w:spacing w:line="360" w:lineRule="auto"/>
        <w:jc w:val="both"/>
        <w:rPr>
          <w:rFonts w:ascii="Times New Roman" w:hAnsi="Times New Roman" w:cs="Times New Roman"/>
        </w:rPr>
      </w:pPr>
      <w:r w:rsidRPr="00DE351A">
        <w:rPr>
          <w:rFonts w:ascii="Times New Roman" w:hAnsi="Times New Roman" w:cs="Times New Roman"/>
        </w:rPr>
        <w:t>Товарно-материальные запасы переводятся в текущую стоимость;</w:t>
      </w:r>
    </w:p>
    <w:p w:rsidR="00114C0F" w:rsidRPr="00DE351A" w:rsidRDefault="00114C0F" w:rsidP="00DE351A">
      <w:pPr>
        <w:numPr>
          <w:ilvl w:val="0"/>
          <w:numId w:val="2"/>
        </w:numPr>
        <w:spacing w:line="360" w:lineRule="auto"/>
        <w:jc w:val="both"/>
        <w:rPr>
          <w:rFonts w:ascii="Times New Roman" w:hAnsi="Times New Roman" w:cs="Times New Roman"/>
        </w:rPr>
      </w:pPr>
      <w:r w:rsidRPr="00DE351A">
        <w:rPr>
          <w:rFonts w:ascii="Times New Roman" w:hAnsi="Times New Roman" w:cs="Times New Roman"/>
        </w:rPr>
        <w:t>Оценивается дебиторская задолженность;</w:t>
      </w:r>
    </w:p>
    <w:p w:rsidR="00114C0F" w:rsidRPr="00DE351A" w:rsidRDefault="00114C0F" w:rsidP="00DE351A">
      <w:pPr>
        <w:numPr>
          <w:ilvl w:val="0"/>
          <w:numId w:val="2"/>
        </w:numPr>
        <w:spacing w:line="360" w:lineRule="auto"/>
        <w:jc w:val="both"/>
        <w:rPr>
          <w:rFonts w:ascii="Times New Roman" w:hAnsi="Times New Roman" w:cs="Times New Roman"/>
        </w:rPr>
      </w:pPr>
      <w:r w:rsidRPr="00DE351A">
        <w:rPr>
          <w:rFonts w:ascii="Times New Roman" w:hAnsi="Times New Roman" w:cs="Times New Roman"/>
        </w:rPr>
        <w:t>Оцениваются расходы будущих периодов;</w:t>
      </w:r>
    </w:p>
    <w:p w:rsidR="00114C0F" w:rsidRPr="00DE351A" w:rsidRDefault="00114C0F" w:rsidP="00DE351A">
      <w:pPr>
        <w:numPr>
          <w:ilvl w:val="0"/>
          <w:numId w:val="2"/>
        </w:numPr>
        <w:spacing w:line="360" w:lineRule="auto"/>
        <w:jc w:val="both"/>
        <w:rPr>
          <w:rFonts w:ascii="Times New Roman" w:hAnsi="Times New Roman" w:cs="Times New Roman"/>
        </w:rPr>
      </w:pPr>
      <w:r w:rsidRPr="00DE351A">
        <w:rPr>
          <w:rFonts w:ascii="Times New Roman" w:hAnsi="Times New Roman" w:cs="Times New Roman"/>
        </w:rPr>
        <w:t>Обязательства предприятия переводятся в текущую стоимость.</w:t>
      </w:r>
    </w:p>
    <w:p w:rsidR="00114C0F" w:rsidRPr="00DE351A" w:rsidRDefault="00114C0F" w:rsidP="00DE351A">
      <w:pPr>
        <w:numPr>
          <w:ilvl w:val="0"/>
          <w:numId w:val="2"/>
        </w:numPr>
        <w:spacing w:line="360" w:lineRule="auto"/>
        <w:jc w:val="both"/>
        <w:rPr>
          <w:rFonts w:ascii="Times New Roman" w:hAnsi="Times New Roman" w:cs="Times New Roman"/>
        </w:rPr>
      </w:pPr>
      <w:r w:rsidRPr="00DE351A">
        <w:rPr>
          <w:rFonts w:ascii="Times New Roman" w:hAnsi="Times New Roman" w:cs="Times New Roman"/>
        </w:rPr>
        <w:t>Определяется стоимость собственного капитала путем вычитания из обоснованной рыночной стоимости суммы активов текущей стоимости всех обязательств.</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bCs/>
          <w:iCs/>
        </w:rPr>
        <w:t>Метод стоимости чистых активов</w:t>
      </w:r>
      <w:r w:rsidRPr="00DE351A">
        <w:rPr>
          <w:rFonts w:ascii="Times New Roman" w:hAnsi="Times New Roman" w:cs="Times New Roman"/>
        </w:rPr>
        <w:t> применяют в том случае, если компания обладает значительными материальными активами и ожидается, что будет по-прежнему действующим предприятием.</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rPr>
        <w:t>Источником исходных данных для оценки служит бухгалтерская отчетность предприятия, в том числе: бухгалтерский баланс, отчет о прибылях и убытках, отчет о движении денежных средств, приложения и расшифровки. Причем, предварительно следует провести инфляционную корректировку данных.</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rPr>
        <w:t>Различают метод скорректированных чистых активов и нескорректированных чистых активов. В первом случае проводится полная корректировка статей баланса, а значит, определяется обоснованная рыночная стоимость каждого актива баланса в отдельности. Результаты расчетов по данному методу более достоверны, чем по второму, когда из-за отсутствия достаточной информации корректировка статей баланса не проводится.</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rPr>
        <w:lastRenderedPageBreak/>
        <w:t>Порядок расчета стоимости чистых активов по бухгалтерской отчетности определен в Порядке оценки стоимости чистых активов акционерных обществ, утвержденном приказом Министерства финансов РФ от 5.08.96г. № 71 и Федеральной комиссии по рынку ценных бумаг от 5.08.96г. № 149.</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u w:val="single"/>
        </w:rPr>
        <w:t>Чистые активы</w:t>
      </w:r>
      <w:r w:rsidRPr="00DE351A">
        <w:rPr>
          <w:rFonts w:ascii="Times New Roman" w:hAnsi="Times New Roman" w:cs="Times New Roman"/>
        </w:rPr>
        <w:t> - это величина, определяемая путем вычитания из суммы активов акционерного общества, принимаемых к расчету, суммы его обязательств, принимаемых к расчету.</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rPr>
        <w:t>Активы, участвующие в расчете, - это денежное и не денежное имущество предприятия, в состав которого включаются по балансовой стоимости следующие статьи:</w:t>
      </w:r>
    </w:p>
    <w:p w:rsidR="00114C0F" w:rsidRPr="00DE351A" w:rsidRDefault="00114C0F" w:rsidP="00DE351A">
      <w:pPr>
        <w:numPr>
          <w:ilvl w:val="0"/>
          <w:numId w:val="3"/>
        </w:numPr>
        <w:spacing w:line="360" w:lineRule="auto"/>
        <w:jc w:val="both"/>
        <w:rPr>
          <w:rFonts w:ascii="Times New Roman" w:hAnsi="Times New Roman" w:cs="Times New Roman"/>
        </w:rPr>
      </w:pPr>
      <w:proofErr w:type="spellStart"/>
      <w:r w:rsidRPr="00DE351A">
        <w:rPr>
          <w:rFonts w:ascii="Times New Roman" w:hAnsi="Times New Roman" w:cs="Times New Roman"/>
        </w:rPr>
        <w:t>внеоборотные</w:t>
      </w:r>
      <w:proofErr w:type="spellEnd"/>
      <w:r w:rsidRPr="00DE351A">
        <w:rPr>
          <w:rFonts w:ascii="Times New Roman" w:hAnsi="Times New Roman" w:cs="Times New Roman"/>
        </w:rPr>
        <w:t xml:space="preserve"> активы, отражаемые в первом разделе баланса, за исключением балансовой стоимости собственных акций общества, выкупленных у акционеров. При этом при расчете величины чистых активов принимаются учитываемые в первом разделе бухгалтерского баланса нематериальные активы, отвечающие следующим требованиям:</w:t>
      </w:r>
    </w:p>
    <w:p w:rsidR="00114C0F" w:rsidRPr="00DE351A" w:rsidRDefault="00114C0F" w:rsidP="00DE351A">
      <w:pPr>
        <w:numPr>
          <w:ilvl w:val="0"/>
          <w:numId w:val="4"/>
        </w:numPr>
        <w:spacing w:line="360" w:lineRule="auto"/>
        <w:jc w:val="both"/>
        <w:rPr>
          <w:rFonts w:ascii="Times New Roman" w:hAnsi="Times New Roman" w:cs="Times New Roman"/>
        </w:rPr>
      </w:pPr>
      <w:r w:rsidRPr="00DE351A">
        <w:rPr>
          <w:rFonts w:ascii="Times New Roman" w:hAnsi="Times New Roman" w:cs="Times New Roman"/>
        </w:rPr>
        <w:t>непосредственно используемые обществом в основной деятельности и приносящие доход (права пользования земельными участками, природными ресурсами, патенты, лицензии, ноу-хау, программные продукты, монопольные права и привилегии, включая лицензии на определенные виды деятельности, организационные расходы, торговые марки, товарные знаки и т.п.);</w:t>
      </w:r>
    </w:p>
    <w:p w:rsidR="00114C0F" w:rsidRPr="00DE351A" w:rsidRDefault="00114C0F" w:rsidP="00DE351A">
      <w:pPr>
        <w:numPr>
          <w:ilvl w:val="0"/>
          <w:numId w:val="4"/>
        </w:numPr>
        <w:spacing w:line="360" w:lineRule="auto"/>
        <w:jc w:val="both"/>
        <w:rPr>
          <w:rFonts w:ascii="Times New Roman" w:hAnsi="Times New Roman" w:cs="Times New Roman"/>
        </w:rPr>
      </w:pPr>
      <w:proofErr w:type="gramStart"/>
      <w:r w:rsidRPr="00DE351A">
        <w:rPr>
          <w:rFonts w:ascii="Times New Roman" w:hAnsi="Times New Roman" w:cs="Times New Roman"/>
        </w:rPr>
        <w:t>имеющие</w:t>
      </w:r>
      <w:proofErr w:type="gramEnd"/>
      <w:r w:rsidRPr="00DE351A">
        <w:rPr>
          <w:rFonts w:ascii="Times New Roman" w:hAnsi="Times New Roman" w:cs="Times New Roman"/>
        </w:rPr>
        <w:t xml:space="preserve"> документальное подтверждение затрат, связанных с их приобретением (созданием);</w:t>
      </w:r>
    </w:p>
    <w:p w:rsidR="00114C0F" w:rsidRPr="00DE351A" w:rsidRDefault="00114C0F" w:rsidP="00DE351A">
      <w:pPr>
        <w:numPr>
          <w:ilvl w:val="0"/>
          <w:numId w:val="4"/>
        </w:numPr>
        <w:spacing w:line="360" w:lineRule="auto"/>
        <w:jc w:val="both"/>
        <w:rPr>
          <w:rFonts w:ascii="Times New Roman" w:hAnsi="Times New Roman" w:cs="Times New Roman"/>
        </w:rPr>
      </w:pPr>
      <w:r w:rsidRPr="00DE351A">
        <w:rPr>
          <w:rFonts w:ascii="Times New Roman" w:hAnsi="Times New Roman" w:cs="Times New Roman"/>
        </w:rPr>
        <w:t>право общества на владение данными нематериальными правами должно быть подтверждено документом (патентом, лицензией, актом, договором и т.п.), выданным в соответствии с законодательством Российской Федерации;</w:t>
      </w:r>
    </w:p>
    <w:p w:rsidR="00114C0F" w:rsidRPr="00DE351A" w:rsidRDefault="00114C0F" w:rsidP="00DE351A">
      <w:pPr>
        <w:numPr>
          <w:ilvl w:val="0"/>
          <w:numId w:val="5"/>
        </w:numPr>
        <w:spacing w:line="360" w:lineRule="auto"/>
        <w:jc w:val="both"/>
        <w:rPr>
          <w:rFonts w:ascii="Times New Roman" w:hAnsi="Times New Roman" w:cs="Times New Roman"/>
        </w:rPr>
      </w:pPr>
      <w:r w:rsidRPr="00DE351A">
        <w:rPr>
          <w:rFonts w:ascii="Times New Roman" w:hAnsi="Times New Roman" w:cs="Times New Roman"/>
        </w:rPr>
        <w:t xml:space="preserve">по статье прочие </w:t>
      </w:r>
      <w:proofErr w:type="spellStart"/>
      <w:r w:rsidRPr="00DE351A">
        <w:rPr>
          <w:rFonts w:ascii="Times New Roman" w:hAnsi="Times New Roman" w:cs="Times New Roman"/>
        </w:rPr>
        <w:t>внеоборотные</w:t>
      </w:r>
      <w:proofErr w:type="spellEnd"/>
      <w:r w:rsidRPr="00DE351A">
        <w:rPr>
          <w:rFonts w:ascii="Times New Roman" w:hAnsi="Times New Roman" w:cs="Times New Roman"/>
        </w:rPr>
        <w:t xml:space="preserve"> активы в расчет принимается задолженность акционерного общества за проданное ему имущество;</w:t>
      </w:r>
    </w:p>
    <w:p w:rsidR="00114C0F" w:rsidRPr="00DE351A" w:rsidRDefault="00114C0F" w:rsidP="00DE351A">
      <w:pPr>
        <w:numPr>
          <w:ilvl w:val="0"/>
          <w:numId w:val="5"/>
        </w:numPr>
        <w:spacing w:line="360" w:lineRule="auto"/>
        <w:jc w:val="both"/>
        <w:rPr>
          <w:rFonts w:ascii="Times New Roman" w:hAnsi="Times New Roman" w:cs="Times New Roman"/>
        </w:rPr>
      </w:pPr>
      <w:r w:rsidRPr="00DE351A">
        <w:rPr>
          <w:rFonts w:ascii="Times New Roman" w:hAnsi="Times New Roman" w:cs="Times New Roman"/>
        </w:rPr>
        <w:t>запасы и затраты, денежные средства, расчеты и прочие активы, показываемые во втором разделе бухгалтерского баланса, за исключением задолженности участников (учредителей) по их вкладам в уставный капитал и балансовой стоимости собственных акций, выкупленных у акционеров.</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rPr>
        <w:t>При налич</w:t>
      </w:r>
      <w:proofErr w:type="gramStart"/>
      <w:r w:rsidRPr="00DE351A">
        <w:rPr>
          <w:rFonts w:ascii="Times New Roman" w:hAnsi="Times New Roman" w:cs="Times New Roman"/>
        </w:rPr>
        <w:t>ии у а</w:t>
      </w:r>
      <w:proofErr w:type="gramEnd"/>
      <w:r w:rsidRPr="00DE351A">
        <w:rPr>
          <w:rFonts w:ascii="Times New Roman" w:hAnsi="Times New Roman" w:cs="Times New Roman"/>
        </w:rPr>
        <w:t>кционерного общества на конец года оценочных резервов по сомнительным долгам и под обесценение ценных бумаг - показатели статей, в связи с которыми они созданы, принимаются в расчете (показываются в Расчете) с соответствующим уменьшением их балансовой стоимости на стоимость данных резервов.</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rPr>
        <w:t>Пассивы, участвующие в расчете, - это обязательства акционерного общества, в состав которых включаются следующие статьи:</w:t>
      </w:r>
    </w:p>
    <w:p w:rsidR="00114C0F" w:rsidRPr="00DE351A" w:rsidRDefault="00114C0F" w:rsidP="00DE351A">
      <w:pPr>
        <w:numPr>
          <w:ilvl w:val="0"/>
          <w:numId w:val="6"/>
        </w:numPr>
        <w:spacing w:line="360" w:lineRule="auto"/>
        <w:jc w:val="both"/>
        <w:rPr>
          <w:rFonts w:ascii="Times New Roman" w:hAnsi="Times New Roman" w:cs="Times New Roman"/>
        </w:rPr>
      </w:pPr>
      <w:r w:rsidRPr="00DE351A">
        <w:rPr>
          <w:rFonts w:ascii="Times New Roman" w:hAnsi="Times New Roman" w:cs="Times New Roman"/>
        </w:rPr>
        <w:lastRenderedPageBreak/>
        <w:t>целевые финансирование и поступления;</w:t>
      </w:r>
    </w:p>
    <w:p w:rsidR="00114C0F" w:rsidRPr="00DE351A" w:rsidRDefault="00114C0F" w:rsidP="00DE351A">
      <w:pPr>
        <w:numPr>
          <w:ilvl w:val="0"/>
          <w:numId w:val="6"/>
        </w:numPr>
        <w:spacing w:line="360" w:lineRule="auto"/>
        <w:jc w:val="both"/>
        <w:rPr>
          <w:rFonts w:ascii="Times New Roman" w:hAnsi="Times New Roman" w:cs="Times New Roman"/>
        </w:rPr>
      </w:pPr>
      <w:r w:rsidRPr="00DE351A">
        <w:rPr>
          <w:rFonts w:ascii="Times New Roman" w:hAnsi="Times New Roman" w:cs="Times New Roman"/>
        </w:rPr>
        <w:t>долгосрочные обязательства банкам и иным юридическим и физическим лицам;</w:t>
      </w:r>
    </w:p>
    <w:p w:rsidR="00114C0F" w:rsidRPr="00DE351A" w:rsidRDefault="00114C0F" w:rsidP="00DE351A">
      <w:pPr>
        <w:numPr>
          <w:ilvl w:val="0"/>
          <w:numId w:val="6"/>
        </w:numPr>
        <w:spacing w:line="360" w:lineRule="auto"/>
        <w:jc w:val="both"/>
        <w:rPr>
          <w:rFonts w:ascii="Times New Roman" w:hAnsi="Times New Roman" w:cs="Times New Roman"/>
        </w:rPr>
      </w:pPr>
      <w:r w:rsidRPr="00DE351A">
        <w:rPr>
          <w:rFonts w:ascii="Times New Roman" w:hAnsi="Times New Roman" w:cs="Times New Roman"/>
        </w:rPr>
        <w:t>краткосрочные обязательства банкам и иным юридическим и физическим лицам; расчеты и прочие пассивы, кроме сумм, отраженных по статьям "Доходы будущих периодов", "Фонды потребления" и "Резервы предстоящих расходов и платежей".</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rPr>
        <w:t>При расчете по методу чистых активов не учитываются перспективы развития компании, что в данном случае существенно искажает реальную стоимость компании.</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rPr>
        <w:t>Второй метод – </w:t>
      </w:r>
      <w:r w:rsidRPr="00DE351A">
        <w:rPr>
          <w:rFonts w:ascii="Times New Roman" w:hAnsi="Times New Roman" w:cs="Times New Roman"/>
          <w:bCs/>
          <w:iCs/>
        </w:rPr>
        <w:t>метод ликвидационной стоимости</w:t>
      </w:r>
      <w:r w:rsidRPr="00DE351A">
        <w:rPr>
          <w:rFonts w:ascii="Times New Roman" w:hAnsi="Times New Roman" w:cs="Times New Roman"/>
        </w:rPr>
        <w:t> – применяется для предприятий, которые находятся в состоянии банкротства или если стоимость компании при ликвидации будет выше, чем при продолжении деятельности. При использовании данного метода оценщик определяет валовую выручку от ликвидации активов предприятия, затем уменьшает ее на величину прямых затрат, связанных с ликвидацией предприятия, а также на величину всех обязатель</w:t>
      </w:r>
      <w:proofErr w:type="gramStart"/>
      <w:r w:rsidRPr="00DE351A">
        <w:rPr>
          <w:rFonts w:ascii="Times New Roman" w:hAnsi="Times New Roman" w:cs="Times New Roman"/>
        </w:rPr>
        <w:t>ств пр</w:t>
      </w:r>
      <w:proofErr w:type="gramEnd"/>
      <w:r w:rsidRPr="00DE351A">
        <w:rPr>
          <w:rFonts w:ascii="Times New Roman" w:hAnsi="Times New Roman" w:cs="Times New Roman"/>
        </w:rPr>
        <w:t>едприятия.</w:t>
      </w:r>
    </w:p>
    <w:p w:rsidR="00114C0F" w:rsidRPr="00DE351A" w:rsidRDefault="00114C0F" w:rsidP="00DE351A">
      <w:pPr>
        <w:spacing w:line="360" w:lineRule="auto"/>
        <w:jc w:val="both"/>
        <w:rPr>
          <w:rFonts w:ascii="Times New Roman" w:hAnsi="Times New Roman" w:cs="Times New Roman"/>
          <w:bCs/>
        </w:rPr>
      </w:pPr>
      <w:r w:rsidRPr="00DE351A">
        <w:rPr>
          <w:rFonts w:ascii="Times New Roman" w:hAnsi="Times New Roman" w:cs="Times New Roman"/>
          <w:bCs/>
        </w:rPr>
        <w:t>2.2. Сравнительный подход.</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bCs/>
          <w:iCs/>
        </w:rPr>
        <w:t>Сравнительный подход</w:t>
      </w:r>
      <w:r w:rsidRPr="00DE351A">
        <w:rPr>
          <w:rFonts w:ascii="Times New Roman" w:hAnsi="Times New Roman" w:cs="Times New Roman"/>
        </w:rPr>
        <w:t xml:space="preserve"> основан на принципе эффективно функционирующего рынка, на котором инвесторы покупают и продают активы аналогичного типа, принимая при этом независимые индивидуальные решения. Данные по аналогичным сделкам сравниваются с </w:t>
      </w:r>
      <w:proofErr w:type="gramStart"/>
      <w:r w:rsidRPr="00DE351A">
        <w:rPr>
          <w:rFonts w:ascii="Times New Roman" w:hAnsi="Times New Roman" w:cs="Times New Roman"/>
        </w:rPr>
        <w:t>оцениваемыми</w:t>
      </w:r>
      <w:proofErr w:type="gramEnd"/>
      <w:r w:rsidRPr="00DE351A">
        <w:rPr>
          <w:rFonts w:ascii="Times New Roman" w:hAnsi="Times New Roman" w:cs="Times New Roman"/>
        </w:rPr>
        <w:t>. Преимущества и недостатки оцениваемых активов по сравнению с выбранными аналогами учитываются посредством введения соответствующих поправок.</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rPr>
        <w:t>В зависимости от наличия и доступности информации, характеристик объекта оценки, предмета и условий предполагаемой сделки с объектом оценки в рамках сравнительного подхода применяются следующие методы:</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bCs/>
        </w:rPr>
        <w:t>-</w:t>
      </w:r>
      <w:r w:rsidRPr="00DE351A">
        <w:rPr>
          <w:rFonts w:ascii="Times New Roman" w:hAnsi="Times New Roman" w:cs="Times New Roman"/>
        </w:rPr>
        <w:t>метод компании-аналога;</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bCs/>
        </w:rPr>
        <w:t>-</w:t>
      </w:r>
      <w:r w:rsidRPr="00DE351A">
        <w:rPr>
          <w:rFonts w:ascii="Times New Roman" w:hAnsi="Times New Roman" w:cs="Times New Roman"/>
        </w:rPr>
        <w:t>метод сделок;</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bCs/>
        </w:rPr>
        <w:t>-</w:t>
      </w:r>
      <w:r w:rsidRPr="00DE351A">
        <w:rPr>
          <w:rFonts w:ascii="Times New Roman" w:hAnsi="Times New Roman" w:cs="Times New Roman"/>
        </w:rPr>
        <w:t>метод отраслевых коэффициентов;</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bCs/>
        </w:rPr>
        <w:t>Метод компании-аналога</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rPr>
        <w:t>Метод компании-аналога, как правило, применяется в случае, когда размер оцениваемого участия в уставном (складочном) капитале является неконтрольным.</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rPr>
        <w:t>Источником информации о ценах сопоставимых сделок с аналогами объекта оценки являются данные о ценах сделок с акциями и другими ценными бумагами, совершаемых на открытых фондовых рынках (на биржах и в системах открытой электронной внебиржевой торговли), в случае если объект такой сделки не предоставляет его владельцу какие-либо полномочия контроля.</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rPr>
        <w:lastRenderedPageBreak/>
        <w:t>В случае если объектом оценки является контрольное участие, оценщик должен осуществить корректировку в размере премии за контрольное участие.</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bCs/>
        </w:rPr>
        <w:t>Метод сделок</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rPr>
        <w:t>Метод сделок, как правило, применяется в случае, когда размер оцениваемого участия в уставном (складочном) капитале является контрольным.</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rPr>
        <w:t>Источником информации о ценах сопоставимых сделок с аналогами объекта оценки являются:</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rPr>
        <w:t>данные о ценах сделок с акциями и другими ценными бумагами, долями (вкладами) в уставных (складочных) капиталах, в случае если объект такой сделки предоставляет его владельцу все или некоторые полномочия контроля;</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rPr>
        <w:t>данные о ценах сделок в форме слияний, присоединений (поглощений) или продажи предприятия (бизнеса) в целом.</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rPr>
        <w:t xml:space="preserve">В случае если объектом оценки </w:t>
      </w:r>
      <w:proofErr w:type="gramStart"/>
      <w:r w:rsidRPr="00DE351A">
        <w:rPr>
          <w:rFonts w:ascii="Times New Roman" w:hAnsi="Times New Roman" w:cs="Times New Roman"/>
        </w:rPr>
        <w:t>является неконтрольное участие оценщик должен</w:t>
      </w:r>
      <w:proofErr w:type="gramEnd"/>
      <w:r w:rsidRPr="00DE351A">
        <w:rPr>
          <w:rFonts w:ascii="Times New Roman" w:hAnsi="Times New Roman" w:cs="Times New Roman"/>
        </w:rPr>
        <w:t xml:space="preserve"> осуществить корректировку в размере скидки за неконтрольное участие.</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bCs/>
        </w:rPr>
        <w:t>Метод отраслевых коэффициентов</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rPr>
        <w:t xml:space="preserve">Источником информации являются, как правило, данные специализированных отраслевых исследований (обзоров), составленных на основе анализа не менее чем половины предприятий данной отрасли, сопоставимых по размеру </w:t>
      </w:r>
      <w:proofErr w:type="gramStart"/>
      <w:r w:rsidRPr="00DE351A">
        <w:rPr>
          <w:rFonts w:ascii="Times New Roman" w:hAnsi="Times New Roman" w:cs="Times New Roman"/>
        </w:rPr>
        <w:t>с</w:t>
      </w:r>
      <w:proofErr w:type="gramEnd"/>
      <w:r w:rsidRPr="00DE351A">
        <w:rPr>
          <w:rFonts w:ascii="Times New Roman" w:hAnsi="Times New Roman" w:cs="Times New Roman"/>
        </w:rPr>
        <w:t xml:space="preserve"> оцениваемым.</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rPr>
        <w:t>Оценщик осуществляет и отражает в отчете действия, направленные на установление соответствия результатов таких исследований, применяемым методам оценки, принципам оценки, характеристикам объекта оценки, предмету и условиям предполагаемой сделки с объектом оценки.</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rPr>
        <w:t>Оценщик должен проверить и отразить в отчете соответствие результатов, полученных при применении данного метода, результатам, полученным с использованием других подходов и методов оценки.</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rPr>
        <w:t>Как правило, результаты, полученные при применении данного метода, являются индикативными и не применяются при выведении итоговой величины стоимости или им придается наименьший удельный вес.</w:t>
      </w:r>
    </w:p>
    <w:p w:rsidR="00114C0F" w:rsidRPr="00DE351A" w:rsidRDefault="00114C0F" w:rsidP="00DE351A">
      <w:pPr>
        <w:spacing w:line="360" w:lineRule="auto"/>
        <w:jc w:val="both"/>
        <w:rPr>
          <w:rFonts w:ascii="Times New Roman" w:hAnsi="Times New Roman" w:cs="Times New Roman"/>
          <w:bCs/>
        </w:rPr>
      </w:pPr>
      <w:r w:rsidRPr="00DE351A">
        <w:rPr>
          <w:rFonts w:ascii="Times New Roman" w:hAnsi="Times New Roman" w:cs="Times New Roman"/>
          <w:bCs/>
        </w:rPr>
        <w:t>2.3. Доходный подход.</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rPr>
        <w:t>Применяется доходный подход в тех случаях, когда есть возможность составить представление о дальнейшем развитии компании (построить финансовую модель). В рамках доходного подхода используют метод капитализации и метод дисконтирования.</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rPr>
        <w:lastRenderedPageBreak/>
        <w:t>Оценка доходным подходом предполагает построение прогноза доходов. В зависимости от равномерности поступления доходов выбирается либо метод капитализации, либо метод дисконтирования.</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rPr>
        <w:t>Если будущие доходы будут примерно равны текущим или темпы их роста постоянны, то применяют метод капитализации. Метод капитализации предполагает также неопределенно долгий срок функционирования бизнеса.</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rPr>
        <w:t>Метод дисконтирования применяется при непостоянных финансовых показателях, а также в тех случаях, когда функционирование бизнеса прекращается (независимо от причин) в обозримой перспективе, или предполагается выход из бизнеса. Оценка данным методом включает составление прогноза денежных потоков на каждый год прогнозного периода.</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rPr>
        <w:t xml:space="preserve">Далее определяется величина стоимости компании в </w:t>
      </w:r>
      <w:proofErr w:type="spellStart"/>
      <w:r w:rsidRPr="00DE351A">
        <w:rPr>
          <w:rFonts w:ascii="Times New Roman" w:hAnsi="Times New Roman" w:cs="Times New Roman"/>
        </w:rPr>
        <w:t>постпрогнозный</w:t>
      </w:r>
      <w:proofErr w:type="spellEnd"/>
      <w:r w:rsidRPr="00DE351A">
        <w:rPr>
          <w:rFonts w:ascii="Times New Roman" w:hAnsi="Times New Roman" w:cs="Times New Roman"/>
        </w:rPr>
        <w:t xml:space="preserve"> период. Определяется предварительная величина стоимости бизнеса как сумма текущей стоимости денежных потоков в течение прогнозного периода и текущего значения стоимости в </w:t>
      </w:r>
      <w:proofErr w:type="spellStart"/>
      <w:r w:rsidRPr="00DE351A">
        <w:rPr>
          <w:rFonts w:ascii="Times New Roman" w:hAnsi="Times New Roman" w:cs="Times New Roman"/>
        </w:rPr>
        <w:t>постпрогнозный</w:t>
      </w:r>
      <w:proofErr w:type="spellEnd"/>
      <w:r w:rsidRPr="00DE351A">
        <w:rPr>
          <w:rFonts w:ascii="Times New Roman" w:hAnsi="Times New Roman" w:cs="Times New Roman"/>
        </w:rPr>
        <w:t xml:space="preserve"> период. При необходимости вносятся поправки (в частности, учитывается скидка за неконтрольный характер и скидка за недостаточную ликвидность) и определяется окончательная величина рыночной стоимости компании.</w:t>
      </w:r>
    </w:p>
    <w:p w:rsidR="00114C0F" w:rsidRPr="00DE351A" w:rsidRDefault="00114C0F" w:rsidP="00DE351A">
      <w:pPr>
        <w:spacing w:line="360" w:lineRule="auto"/>
        <w:jc w:val="both"/>
        <w:rPr>
          <w:rFonts w:ascii="Times New Roman" w:hAnsi="Times New Roman" w:cs="Times New Roman"/>
          <w:bCs/>
        </w:rPr>
      </w:pPr>
      <w:r w:rsidRPr="00DE351A">
        <w:rPr>
          <w:rFonts w:ascii="Times New Roman" w:hAnsi="Times New Roman" w:cs="Times New Roman"/>
          <w:bCs/>
        </w:rPr>
        <w:t>Метод дисконтированных денежных потоков.</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rPr>
        <w:t>Стоимость Компании по данному методу равна сумме приведенных (дисконтированных) к настоящему времени будущих свободных денежных потоков Компании, то есть рассчитывается по следующей формуле:</w:t>
      </w:r>
    </w:p>
    <w:p w:rsidR="00114C0F" w:rsidRPr="00DE351A" w:rsidRDefault="00114C0F" w:rsidP="00DE351A">
      <w:pPr>
        <w:spacing w:line="360" w:lineRule="auto"/>
        <w:jc w:val="both"/>
        <w:rPr>
          <w:rFonts w:ascii="Times New Roman" w:hAnsi="Times New Roman" w:cs="Times New Roman"/>
          <w:lang w:val="en-GB"/>
        </w:rPr>
      </w:pPr>
      <w:r w:rsidRPr="00DE351A">
        <w:rPr>
          <w:rFonts w:ascii="Times New Roman" w:hAnsi="Times New Roman" w:cs="Times New Roman"/>
          <w:bCs/>
          <w:lang w:val="en-GB"/>
        </w:rPr>
        <w:t>PV = </w:t>
      </w:r>
      <w:r w:rsidRPr="00DE351A">
        <w:rPr>
          <w:rFonts w:ascii="Times New Roman" w:hAnsi="Times New Roman" w:cs="Times New Roman"/>
          <w:bCs/>
          <w:iCs/>
          <w:lang w:val="en-GB"/>
        </w:rPr>
        <w:sym w:font="Symbol" w:char="F053"/>
      </w:r>
      <w:r w:rsidRPr="00DE351A">
        <w:rPr>
          <w:rFonts w:ascii="Times New Roman" w:hAnsi="Times New Roman" w:cs="Times New Roman"/>
          <w:bCs/>
          <w:lang w:val="en-GB"/>
        </w:rPr>
        <w:t>(</w:t>
      </w:r>
      <w:proofErr w:type="spellStart"/>
      <w:r w:rsidRPr="00DE351A">
        <w:rPr>
          <w:rFonts w:ascii="Times New Roman" w:hAnsi="Times New Roman" w:cs="Times New Roman"/>
          <w:bCs/>
          <w:lang w:val="en-GB"/>
        </w:rPr>
        <w:t>CF</w:t>
      </w:r>
      <w:r w:rsidRPr="00DE351A">
        <w:rPr>
          <w:rFonts w:ascii="Times New Roman" w:hAnsi="Times New Roman" w:cs="Times New Roman"/>
          <w:bCs/>
          <w:vertAlign w:val="subscript"/>
          <w:lang w:val="en-GB"/>
        </w:rPr>
        <w:t>i</w:t>
      </w:r>
      <w:proofErr w:type="spellEnd"/>
      <w:proofErr w:type="gramStart"/>
      <w:r w:rsidRPr="00DE351A">
        <w:rPr>
          <w:rFonts w:ascii="Times New Roman" w:hAnsi="Times New Roman" w:cs="Times New Roman"/>
          <w:bCs/>
          <w:lang w:val="en-GB"/>
        </w:rPr>
        <w:t>/(</w:t>
      </w:r>
      <w:proofErr w:type="gramEnd"/>
      <w:r w:rsidRPr="00DE351A">
        <w:rPr>
          <w:rFonts w:ascii="Times New Roman" w:hAnsi="Times New Roman" w:cs="Times New Roman"/>
          <w:bCs/>
          <w:lang w:val="en-GB"/>
        </w:rPr>
        <w:t>1+r)</w:t>
      </w:r>
      <w:proofErr w:type="spellStart"/>
      <w:r w:rsidRPr="00DE351A">
        <w:rPr>
          <w:rFonts w:ascii="Times New Roman" w:hAnsi="Times New Roman" w:cs="Times New Roman"/>
          <w:bCs/>
          <w:vertAlign w:val="superscript"/>
          <w:lang w:val="en-GB"/>
        </w:rPr>
        <w:t>i</w:t>
      </w:r>
      <w:proofErr w:type="spellEnd"/>
      <w:r w:rsidRPr="00DE351A">
        <w:rPr>
          <w:rFonts w:ascii="Times New Roman" w:hAnsi="Times New Roman" w:cs="Times New Roman"/>
          <w:bCs/>
          <w:lang w:val="en-GB"/>
        </w:rPr>
        <w:t>)</w:t>
      </w:r>
    </w:p>
    <w:tbl>
      <w:tblPr>
        <w:tblW w:w="12326" w:type="dxa"/>
        <w:tblCellSpacing w:w="0" w:type="dxa"/>
        <w:tblInd w:w="150" w:type="dxa"/>
        <w:tblBorders>
          <w:top w:val="outset" w:sz="6" w:space="0" w:color="000000"/>
          <w:left w:val="outset" w:sz="6" w:space="0" w:color="000000"/>
          <w:bottom w:val="outset" w:sz="6" w:space="0" w:color="000000"/>
          <w:right w:val="outset" w:sz="6" w:space="0" w:color="000000"/>
        </w:tblBorders>
        <w:shd w:val="clear" w:color="auto" w:fill="FFFFFF"/>
        <w:tblCellMar>
          <w:top w:w="80" w:type="dxa"/>
          <w:left w:w="80" w:type="dxa"/>
          <w:bottom w:w="80" w:type="dxa"/>
          <w:right w:w="80" w:type="dxa"/>
        </w:tblCellMar>
        <w:tblLook w:val="04A0" w:firstRow="1" w:lastRow="0" w:firstColumn="1" w:lastColumn="0" w:noHBand="0" w:noVBand="1"/>
      </w:tblPr>
      <w:tblGrid>
        <w:gridCol w:w="1284"/>
        <w:gridCol w:w="11042"/>
      </w:tblGrid>
      <w:tr w:rsidR="00114C0F" w:rsidRPr="00DE351A" w:rsidTr="00114C0F">
        <w:trPr>
          <w:tblCellSpacing w:w="0" w:type="dxa"/>
        </w:trPr>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rPr>
              <w:t>Где:</w:t>
            </w:r>
          </w:p>
        </w:tc>
        <w:tc>
          <w:tcPr>
            <w:tcW w:w="8385" w:type="dxa"/>
            <w:tcBorders>
              <w:top w:val="outset" w:sz="6" w:space="0" w:color="000000"/>
              <w:left w:val="outset" w:sz="6" w:space="0" w:color="000000"/>
              <w:bottom w:val="outset" w:sz="6" w:space="0" w:color="000000"/>
              <w:right w:val="outset" w:sz="6" w:space="0" w:color="000000"/>
            </w:tcBorders>
            <w:shd w:val="clear" w:color="auto" w:fill="FFFFFF"/>
            <w:hideMark/>
          </w:tcPr>
          <w:p w:rsidR="00114C0F" w:rsidRPr="00DE351A" w:rsidRDefault="00114C0F" w:rsidP="00DE351A">
            <w:pPr>
              <w:spacing w:line="360" w:lineRule="auto"/>
              <w:jc w:val="both"/>
              <w:rPr>
                <w:rFonts w:ascii="Times New Roman" w:hAnsi="Times New Roman" w:cs="Times New Roman"/>
              </w:rPr>
            </w:pPr>
          </w:p>
        </w:tc>
      </w:tr>
      <w:tr w:rsidR="00114C0F" w:rsidRPr="00DE351A" w:rsidTr="00114C0F">
        <w:trPr>
          <w:tblCellSpacing w:w="0" w:type="dxa"/>
        </w:trPr>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114C0F" w:rsidRPr="00DE351A" w:rsidRDefault="00114C0F" w:rsidP="00DE351A">
            <w:pPr>
              <w:spacing w:line="360" w:lineRule="auto"/>
              <w:jc w:val="both"/>
              <w:rPr>
                <w:rFonts w:ascii="Times New Roman" w:hAnsi="Times New Roman" w:cs="Times New Roman"/>
                <w:lang w:val="en-GB"/>
              </w:rPr>
            </w:pPr>
            <w:r w:rsidRPr="00DE351A">
              <w:rPr>
                <w:rFonts w:ascii="Times New Roman" w:hAnsi="Times New Roman" w:cs="Times New Roman"/>
                <w:bCs/>
                <w:lang w:val="en-GB"/>
              </w:rPr>
              <w:t>PV</w:t>
            </w:r>
          </w:p>
        </w:tc>
        <w:tc>
          <w:tcPr>
            <w:tcW w:w="8385" w:type="dxa"/>
            <w:tcBorders>
              <w:top w:val="outset" w:sz="6" w:space="0" w:color="000000"/>
              <w:left w:val="outset" w:sz="6" w:space="0" w:color="000000"/>
              <w:bottom w:val="outset" w:sz="6" w:space="0" w:color="000000"/>
              <w:right w:val="outset" w:sz="6" w:space="0" w:color="000000"/>
            </w:tcBorders>
            <w:shd w:val="clear" w:color="auto" w:fill="FFFFFF"/>
            <w:hideMark/>
          </w:tcPr>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rPr>
              <w:t>- текущая суммарная стоимость будущих потоков свободных денежных средств;</w:t>
            </w:r>
          </w:p>
        </w:tc>
      </w:tr>
      <w:tr w:rsidR="00114C0F" w:rsidRPr="00DE351A" w:rsidTr="00114C0F">
        <w:trPr>
          <w:tblCellSpacing w:w="0" w:type="dxa"/>
        </w:trPr>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114C0F" w:rsidRPr="00DE351A" w:rsidRDefault="00114C0F" w:rsidP="00DE351A">
            <w:pPr>
              <w:spacing w:line="360" w:lineRule="auto"/>
              <w:jc w:val="both"/>
              <w:rPr>
                <w:rFonts w:ascii="Times New Roman" w:hAnsi="Times New Roman" w:cs="Times New Roman"/>
                <w:lang w:val="en-US"/>
              </w:rPr>
            </w:pPr>
            <w:proofErr w:type="spellStart"/>
            <w:r w:rsidRPr="00DE351A">
              <w:rPr>
                <w:rFonts w:ascii="Times New Roman" w:hAnsi="Times New Roman" w:cs="Times New Roman"/>
                <w:bCs/>
                <w:lang w:val="en-US"/>
              </w:rPr>
              <w:t>Cfi</w:t>
            </w:r>
            <w:proofErr w:type="spellEnd"/>
          </w:p>
        </w:tc>
        <w:tc>
          <w:tcPr>
            <w:tcW w:w="8385" w:type="dxa"/>
            <w:tcBorders>
              <w:top w:val="outset" w:sz="6" w:space="0" w:color="000000"/>
              <w:left w:val="outset" w:sz="6" w:space="0" w:color="000000"/>
              <w:bottom w:val="outset" w:sz="6" w:space="0" w:color="000000"/>
              <w:right w:val="outset" w:sz="6" w:space="0" w:color="000000"/>
            </w:tcBorders>
            <w:shd w:val="clear" w:color="auto" w:fill="FFFFFF"/>
            <w:hideMark/>
          </w:tcPr>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rPr>
              <w:t>- свободный поток денежных средств за период</w:t>
            </w:r>
            <w:r w:rsidRPr="00DE351A">
              <w:rPr>
                <w:rFonts w:ascii="Times New Roman" w:hAnsi="Times New Roman" w:cs="Times New Roman"/>
                <w:lang w:val="en-GB"/>
              </w:rPr>
              <w:t> </w:t>
            </w:r>
            <w:proofErr w:type="spellStart"/>
            <w:r w:rsidRPr="00DE351A">
              <w:rPr>
                <w:rFonts w:ascii="Times New Roman" w:hAnsi="Times New Roman" w:cs="Times New Roman"/>
                <w:iCs/>
                <w:lang w:val="en-GB"/>
              </w:rPr>
              <w:t>i</w:t>
            </w:r>
            <w:proofErr w:type="spellEnd"/>
            <w:r w:rsidRPr="00DE351A">
              <w:rPr>
                <w:rFonts w:ascii="Times New Roman" w:hAnsi="Times New Roman" w:cs="Times New Roman"/>
              </w:rPr>
              <w:t>;</w:t>
            </w:r>
          </w:p>
        </w:tc>
      </w:tr>
      <w:tr w:rsidR="00114C0F" w:rsidRPr="00DE351A" w:rsidTr="00114C0F">
        <w:trPr>
          <w:tblCellSpacing w:w="0" w:type="dxa"/>
        </w:trPr>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114C0F" w:rsidRPr="00DE351A" w:rsidRDefault="00114C0F" w:rsidP="00DE351A">
            <w:pPr>
              <w:spacing w:line="360" w:lineRule="auto"/>
              <w:jc w:val="both"/>
              <w:rPr>
                <w:rFonts w:ascii="Times New Roman" w:hAnsi="Times New Roman" w:cs="Times New Roman"/>
                <w:lang w:val="en-US"/>
              </w:rPr>
            </w:pPr>
            <w:r w:rsidRPr="00DE351A">
              <w:rPr>
                <w:rFonts w:ascii="Times New Roman" w:hAnsi="Times New Roman" w:cs="Times New Roman"/>
                <w:bCs/>
                <w:lang w:val="en-US"/>
              </w:rPr>
              <w:t>R</w:t>
            </w:r>
          </w:p>
        </w:tc>
        <w:tc>
          <w:tcPr>
            <w:tcW w:w="8385" w:type="dxa"/>
            <w:tcBorders>
              <w:top w:val="outset" w:sz="6" w:space="0" w:color="000000"/>
              <w:left w:val="outset" w:sz="6" w:space="0" w:color="000000"/>
              <w:bottom w:val="outset" w:sz="6" w:space="0" w:color="000000"/>
              <w:right w:val="outset" w:sz="6" w:space="0" w:color="000000"/>
            </w:tcBorders>
            <w:shd w:val="clear" w:color="auto" w:fill="FFFFFF"/>
            <w:hideMark/>
          </w:tcPr>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rPr>
              <w:t>- ставка дисконтирования;</w:t>
            </w:r>
          </w:p>
        </w:tc>
      </w:tr>
      <w:tr w:rsidR="00114C0F" w:rsidRPr="00DE351A" w:rsidTr="00114C0F">
        <w:trPr>
          <w:tblCellSpacing w:w="0" w:type="dxa"/>
        </w:trPr>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114C0F" w:rsidRPr="00DE351A" w:rsidRDefault="00114C0F" w:rsidP="00DE351A">
            <w:pPr>
              <w:spacing w:line="360" w:lineRule="auto"/>
              <w:jc w:val="both"/>
              <w:rPr>
                <w:rFonts w:ascii="Times New Roman" w:hAnsi="Times New Roman" w:cs="Times New Roman"/>
                <w:lang w:val="en-US"/>
              </w:rPr>
            </w:pPr>
            <w:r w:rsidRPr="00DE351A">
              <w:rPr>
                <w:rFonts w:ascii="Times New Roman" w:hAnsi="Times New Roman" w:cs="Times New Roman"/>
                <w:bCs/>
                <w:lang w:val="en-US"/>
              </w:rPr>
              <w:t>I</w:t>
            </w:r>
          </w:p>
        </w:tc>
        <w:tc>
          <w:tcPr>
            <w:tcW w:w="8385" w:type="dxa"/>
            <w:tcBorders>
              <w:top w:val="outset" w:sz="6" w:space="0" w:color="000000"/>
              <w:left w:val="outset" w:sz="6" w:space="0" w:color="000000"/>
              <w:bottom w:val="outset" w:sz="6" w:space="0" w:color="000000"/>
              <w:right w:val="outset" w:sz="6" w:space="0" w:color="000000"/>
            </w:tcBorders>
            <w:shd w:val="clear" w:color="auto" w:fill="FFFFFF"/>
            <w:hideMark/>
          </w:tcPr>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rPr>
              <w:t>- порядковый номер периода дисконтирования.</w:t>
            </w:r>
          </w:p>
        </w:tc>
      </w:tr>
    </w:tbl>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rPr>
        <w:t>Таким образом, метод дисконтированных денежных потоков предусматривает:</w:t>
      </w:r>
    </w:p>
    <w:p w:rsidR="00114C0F" w:rsidRPr="00DE351A" w:rsidRDefault="00114C0F" w:rsidP="00DE351A">
      <w:pPr>
        <w:numPr>
          <w:ilvl w:val="0"/>
          <w:numId w:val="7"/>
        </w:numPr>
        <w:spacing w:line="360" w:lineRule="auto"/>
        <w:jc w:val="both"/>
        <w:rPr>
          <w:rFonts w:ascii="Times New Roman" w:hAnsi="Times New Roman" w:cs="Times New Roman"/>
        </w:rPr>
      </w:pPr>
      <w:r w:rsidRPr="00DE351A">
        <w:rPr>
          <w:rFonts w:ascii="Times New Roman" w:hAnsi="Times New Roman" w:cs="Times New Roman"/>
        </w:rPr>
        <w:t>определение горизонта прогноза;</w:t>
      </w:r>
    </w:p>
    <w:p w:rsidR="00114C0F" w:rsidRPr="00DE351A" w:rsidRDefault="00114C0F" w:rsidP="00DE351A">
      <w:pPr>
        <w:numPr>
          <w:ilvl w:val="0"/>
          <w:numId w:val="7"/>
        </w:numPr>
        <w:spacing w:line="360" w:lineRule="auto"/>
        <w:jc w:val="both"/>
        <w:rPr>
          <w:rFonts w:ascii="Times New Roman" w:hAnsi="Times New Roman" w:cs="Times New Roman"/>
        </w:rPr>
      </w:pPr>
      <w:r w:rsidRPr="00DE351A">
        <w:rPr>
          <w:rFonts w:ascii="Times New Roman" w:hAnsi="Times New Roman" w:cs="Times New Roman"/>
        </w:rPr>
        <w:t>построение прогнозных денежных потоков;</w:t>
      </w:r>
    </w:p>
    <w:p w:rsidR="00114C0F" w:rsidRPr="00DE351A" w:rsidRDefault="00114C0F" w:rsidP="00DE351A">
      <w:pPr>
        <w:numPr>
          <w:ilvl w:val="0"/>
          <w:numId w:val="7"/>
        </w:numPr>
        <w:spacing w:line="360" w:lineRule="auto"/>
        <w:jc w:val="both"/>
        <w:rPr>
          <w:rFonts w:ascii="Times New Roman" w:hAnsi="Times New Roman" w:cs="Times New Roman"/>
        </w:rPr>
      </w:pPr>
      <w:r w:rsidRPr="00DE351A">
        <w:rPr>
          <w:rFonts w:ascii="Times New Roman" w:hAnsi="Times New Roman" w:cs="Times New Roman"/>
        </w:rPr>
        <w:lastRenderedPageBreak/>
        <w:t xml:space="preserve">расчет стоимости компании в </w:t>
      </w:r>
      <w:proofErr w:type="spellStart"/>
      <w:r w:rsidRPr="00DE351A">
        <w:rPr>
          <w:rFonts w:ascii="Times New Roman" w:hAnsi="Times New Roman" w:cs="Times New Roman"/>
        </w:rPr>
        <w:t>постпрогнозный</w:t>
      </w:r>
      <w:proofErr w:type="spellEnd"/>
      <w:r w:rsidRPr="00DE351A">
        <w:rPr>
          <w:rFonts w:ascii="Times New Roman" w:hAnsi="Times New Roman" w:cs="Times New Roman"/>
        </w:rPr>
        <w:t xml:space="preserve"> период;</w:t>
      </w:r>
    </w:p>
    <w:p w:rsidR="00114C0F" w:rsidRPr="00DE351A" w:rsidRDefault="00114C0F" w:rsidP="00DE351A">
      <w:pPr>
        <w:numPr>
          <w:ilvl w:val="0"/>
          <w:numId w:val="7"/>
        </w:numPr>
        <w:spacing w:line="360" w:lineRule="auto"/>
        <w:jc w:val="both"/>
        <w:rPr>
          <w:rFonts w:ascii="Times New Roman" w:hAnsi="Times New Roman" w:cs="Times New Roman"/>
        </w:rPr>
      </w:pPr>
      <w:r w:rsidRPr="00DE351A">
        <w:rPr>
          <w:rFonts w:ascii="Times New Roman" w:hAnsi="Times New Roman" w:cs="Times New Roman"/>
        </w:rPr>
        <w:t>выбор ставки дисконтирования;</w:t>
      </w:r>
    </w:p>
    <w:p w:rsidR="00114C0F" w:rsidRPr="00DE351A" w:rsidRDefault="00114C0F" w:rsidP="00DE351A">
      <w:pPr>
        <w:numPr>
          <w:ilvl w:val="0"/>
          <w:numId w:val="7"/>
        </w:numPr>
        <w:spacing w:line="360" w:lineRule="auto"/>
        <w:jc w:val="both"/>
        <w:rPr>
          <w:rFonts w:ascii="Times New Roman" w:hAnsi="Times New Roman" w:cs="Times New Roman"/>
        </w:rPr>
      </w:pPr>
      <w:r w:rsidRPr="00DE351A">
        <w:rPr>
          <w:rFonts w:ascii="Times New Roman" w:hAnsi="Times New Roman" w:cs="Times New Roman"/>
        </w:rPr>
        <w:t>расчет предварительной стоимости компании;</w:t>
      </w:r>
    </w:p>
    <w:p w:rsidR="00114C0F" w:rsidRPr="00DE351A" w:rsidRDefault="00114C0F" w:rsidP="00DE351A">
      <w:pPr>
        <w:numPr>
          <w:ilvl w:val="0"/>
          <w:numId w:val="7"/>
        </w:numPr>
        <w:spacing w:line="360" w:lineRule="auto"/>
        <w:jc w:val="both"/>
        <w:rPr>
          <w:rFonts w:ascii="Times New Roman" w:hAnsi="Times New Roman" w:cs="Times New Roman"/>
        </w:rPr>
      </w:pPr>
      <w:r w:rsidRPr="00DE351A">
        <w:rPr>
          <w:rFonts w:ascii="Times New Roman" w:hAnsi="Times New Roman" w:cs="Times New Roman"/>
        </w:rPr>
        <w:t>внесение поправок и расчет итоговой стоимости.</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rPr>
        <w:t xml:space="preserve">Для расчета стоимости бизнеса в </w:t>
      </w:r>
      <w:proofErr w:type="spellStart"/>
      <w:r w:rsidRPr="00DE351A">
        <w:rPr>
          <w:rFonts w:ascii="Times New Roman" w:hAnsi="Times New Roman" w:cs="Times New Roman"/>
        </w:rPr>
        <w:t>постпрогнозном</w:t>
      </w:r>
      <w:proofErr w:type="spellEnd"/>
      <w:r w:rsidRPr="00DE351A">
        <w:rPr>
          <w:rFonts w:ascii="Times New Roman" w:hAnsi="Times New Roman" w:cs="Times New Roman"/>
        </w:rPr>
        <w:t xml:space="preserve"> периоде могут применяться несколько методов:</w:t>
      </w:r>
    </w:p>
    <w:p w:rsidR="00114C0F" w:rsidRPr="00DE351A" w:rsidRDefault="00114C0F" w:rsidP="00DE351A">
      <w:pPr>
        <w:numPr>
          <w:ilvl w:val="0"/>
          <w:numId w:val="8"/>
        </w:numPr>
        <w:spacing w:line="360" w:lineRule="auto"/>
        <w:jc w:val="both"/>
        <w:rPr>
          <w:rFonts w:ascii="Times New Roman" w:hAnsi="Times New Roman" w:cs="Times New Roman"/>
        </w:rPr>
      </w:pPr>
      <w:r w:rsidRPr="00DE351A">
        <w:rPr>
          <w:rFonts w:ascii="Times New Roman" w:hAnsi="Times New Roman" w:cs="Times New Roman"/>
        </w:rPr>
        <w:t>метод расчета по ликвидационной стоимости (если в остаточном периоде ожидается распродажа, по тем или иным причинам, активов компании);</w:t>
      </w:r>
    </w:p>
    <w:p w:rsidR="00114C0F" w:rsidRPr="00DE351A" w:rsidRDefault="00114C0F" w:rsidP="00DE351A">
      <w:pPr>
        <w:numPr>
          <w:ilvl w:val="0"/>
          <w:numId w:val="8"/>
        </w:numPr>
        <w:spacing w:line="360" w:lineRule="auto"/>
        <w:jc w:val="both"/>
        <w:rPr>
          <w:rFonts w:ascii="Times New Roman" w:hAnsi="Times New Roman" w:cs="Times New Roman"/>
        </w:rPr>
      </w:pPr>
      <w:r w:rsidRPr="00DE351A">
        <w:rPr>
          <w:rFonts w:ascii="Times New Roman" w:hAnsi="Times New Roman" w:cs="Times New Roman"/>
        </w:rPr>
        <w:t>метод расчета по стоимости чистых активов (применим для стабильной компании со значительными материальными активами);</w:t>
      </w:r>
    </w:p>
    <w:p w:rsidR="00114C0F" w:rsidRPr="00DE351A" w:rsidRDefault="00114C0F" w:rsidP="00DE351A">
      <w:pPr>
        <w:numPr>
          <w:ilvl w:val="0"/>
          <w:numId w:val="8"/>
        </w:numPr>
        <w:spacing w:line="360" w:lineRule="auto"/>
        <w:jc w:val="both"/>
        <w:rPr>
          <w:rFonts w:ascii="Times New Roman" w:hAnsi="Times New Roman" w:cs="Times New Roman"/>
        </w:rPr>
      </w:pPr>
      <w:r w:rsidRPr="00DE351A">
        <w:rPr>
          <w:rFonts w:ascii="Times New Roman" w:hAnsi="Times New Roman" w:cs="Times New Roman"/>
        </w:rPr>
        <w:t>метод предполагаемой продажи (на основе ретроспективных данных по продажам аналогичных компаний);</w:t>
      </w:r>
    </w:p>
    <w:p w:rsidR="00114C0F" w:rsidRPr="00DE351A" w:rsidRDefault="00114C0F" w:rsidP="00DE351A">
      <w:pPr>
        <w:numPr>
          <w:ilvl w:val="0"/>
          <w:numId w:val="8"/>
        </w:numPr>
        <w:spacing w:line="360" w:lineRule="auto"/>
        <w:jc w:val="both"/>
        <w:rPr>
          <w:rFonts w:ascii="Times New Roman" w:hAnsi="Times New Roman" w:cs="Times New Roman"/>
        </w:rPr>
      </w:pPr>
      <w:r w:rsidRPr="00DE351A">
        <w:rPr>
          <w:rFonts w:ascii="Times New Roman" w:hAnsi="Times New Roman" w:cs="Times New Roman"/>
        </w:rPr>
        <w:t>«модель Гордона».</w:t>
      </w:r>
    </w:p>
    <w:p w:rsidR="00114C0F" w:rsidRPr="00DE351A" w:rsidRDefault="00114C0F" w:rsidP="00DE351A">
      <w:pPr>
        <w:spacing w:line="360" w:lineRule="auto"/>
        <w:jc w:val="both"/>
        <w:rPr>
          <w:rFonts w:ascii="Times New Roman" w:hAnsi="Times New Roman" w:cs="Times New Roman"/>
          <w:bCs/>
        </w:rPr>
      </w:pPr>
      <w:r w:rsidRPr="00DE351A">
        <w:rPr>
          <w:rFonts w:ascii="Times New Roman" w:hAnsi="Times New Roman" w:cs="Times New Roman"/>
          <w:bCs/>
        </w:rPr>
        <w:t>Метод капитализации.</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rPr>
        <w:t xml:space="preserve">Как и метод дисконтирования, метод капитализации исходит из предпосылки, что стоимость бизнеса определяется текущей стоимостью его будущих доходов. Этот метод чаще всего применяется тогда, когда есть основания предполагать, что доходы компании будут </w:t>
      </w:r>
      <w:proofErr w:type="gramStart"/>
      <w:r w:rsidRPr="00DE351A">
        <w:rPr>
          <w:rFonts w:ascii="Times New Roman" w:hAnsi="Times New Roman" w:cs="Times New Roman"/>
        </w:rPr>
        <w:t>стабильны</w:t>
      </w:r>
      <w:proofErr w:type="gramEnd"/>
      <w:r w:rsidRPr="00DE351A">
        <w:rPr>
          <w:rFonts w:ascii="Times New Roman" w:hAnsi="Times New Roman" w:cs="Times New Roman"/>
        </w:rPr>
        <w:t xml:space="preserve"> и она будет функционировать неопределенно долго. Применение метода предусматривает реализацию следующих процедур:</w:t>
      </w:r>
    </w:p>
    <w:p w:rsidR="00114C0F" w:rsidRPr="00DE351A" w:rsidRDefault="00114C0F" w:rsidP="00DE351A">
      <w:pPr>
        <w:numPr>
          <w:ilvl w:val="0"/>
          <w:numId w:val="9"/>
        </w:numPr>
        <w:spacing w:line="360" w:lineRule="auto"/>
        <w:jc w:val="both"/>
        <w:rPr>
          <w:rFonts w:ascii="Times New Roman" w:hAnsi="Times New Roman" w:cs="Times New Roman"/>
        </w:rPr>
      </w:pPr>
      <w:r w:rsidRPr="00DE351A">
        <w:rPr>
          <w:rFonts w:ascii="Times New Roman" w:hAnsi="Times New Roman" w:cs="Times New Roman"/>
        </w:rPr>
        <w:t>анализ и подготовка финансовой отчетности;</w:t>
      </w:r>
    </w:p>
    <w:p w:rsidR="00114C0F" w:rsidRPr="00DE351A" w:rsidRDefault="00114C0F" w:rsidP="00DE351A">
      <w:pPr>
        <w:numPr>
          <w:ilvl w:val="0"/>
          <w:numId w:val="9"/>
        </w:numPr>
        <w:spacing w:line="360" w:lineRule="auto"/>
        <w:jc w:val="both"/>
        <w:rPr>
          <w:rFonts w:ascii="Times New Roman" w:hAnsi="Times New Roman" w:cs="Times New Roman"/>
        </w:rPr>
      </w:pPr>
      <w:r w:rsidRPr="00DE351A">
        <w:rPr>
          <w:rFonts w:ascii="Times New Roman" w:hAnsi="Times New Roman" w:cs="Times New Roman"/>
        </w:rPr>
        <w:t>оценка капитализируемой прибыли;</w:t>
      </w:r>
    </w:p>
    <w:p w:rsidR="00114C0F" w:rsidRPr="00DE351A" w:rsidRDefault="00114C0F" w:rsidP="00DE351A">
      <w:pPr>
        <w:numPr>
          <w:ilvl w:val="0"/>
          <w:numId w:val="9"/>
        </w:numPr>
        <w:spacing w:line="360" w:lineRule="auto"/>
        <w:jc w:val="both"/>
        <w:rPr>
          <w:rFonts w:ascii="Times New Roman" w:hAnsi="Times New Roman" w:cs="Times New Roman"/>
        </w:rPr>
      </w:pPr>
      <w:r w:rsidRPr="00DE351A">
        <w:rPr>
          <w:rFonts w:ascii="Times New Roman" w:hAnsi="Times New Roman" w:cs="Times New Roman"/>
        </w:rPr>
        <w:t>расчет ставки капитализации;</w:t>
      </w:r>
    </w:p>
    <w:p w:rsidR="00114C0F" w:rsidRPr="00DE351A" w:rsidRDefault="00114C0F" w:rsidP="00DE351A">
      <w:pPr>
        <w:numPr>
          <w:ilvl w:val="0"/>
          <w:numId w:val="9"/>
        </w:numPr>
        <w:spacing w:line="360" w:lineRule="auto"/>
        <w:jc w:val="both"/>
        <w:rPr>
          <w:rFonts w:ascii="Times New Roman" w:hAnsi="Times New Roman" w:cs="Times New Roman"/>
        </w:rPr>
      </w:pPr>
      <w:r w:rsidRPr="00DE351A">
        <w:rPr>
          <w:rFonts w:ascii="Times New Roman" w:hAnsi="Times New Roman" w:cs="Times New Roman"/>
        </w:rPr>
        <w:t>расчет предварительной стоимости компании;</w:t>
      </w:r>
    </w:p>
    <w:p w:rsidR="00114C0F" w:rsidRPr="00DE351A" w:rsidRDefault="00114C0F" w:rsidP="00DE351A">
      <w:pPr>
        <w:numPr>
          <w:ilvl w:val="0"/>
          <w:numId w:val="9"/>
        </w:numPr>
        <w:spacing w:line="360" w:lineRule="auto"/>
        <w:jc w:val="both"/>
        <w:rPr>
          <w:rFonts w:ascii="Times New Roman" w:hAnsi="Times New Roman" w:cs="Times New Roman"/>
        </w:rPr>
      </w:pPr>
      <w:r w:rsidRPr="00DE351A">
        <w:rPr>
          <w:rFonts w:ascii="Times New Roman" w:hAnsi="Times New Roman" w:cs="Times New Roman"/>
        </w:rPr>
        <w:t>поправка на наличие нефункционирующих активов;</w:t>
      </w:r>
    </w:p>
    <w:p w:rsidR="00114C0F" w:rsidRPr="00DE351A" w:rsidRDefault="00114C0F" w:rsidP="00DE351A">
      <w:pPr>
        <w:numPr>
          <w:ilvl w:val="0"/>
          <w:numId w:val="9"/>
        </w:numPr>
        <w:spacing w:line="360" w:lineRule="auto"/>
        <w:jc w:val="both"/>
        <w:rPr>
          <w:rFonts w:ascii="Times New Roman" w:hAnsi="Times New Roman" w:cs="Times New Roman"/>
        </w:rPr>
      </w:pPr>
      <w:r w:rsidRPr="00DE351A">
        <w:rPr>
          <w:rFonts w:ascii="Times New Roman" w:hAnsi="Times New Roman" w:cs="Times New Roman"/>
        </w:rPr>
        <w:t>поправка на размер доли акционерного капитала;</w:t>
      </w:r>
    </w:p>
    <w:p w:rsidR="00114C0F" w:rsidRPr="00DE351A" w:rsidRDefault="00114C0F" w:rsidP="00DE351A">
      <w:pPr>
        <w:numPr>
          <w:ilvl w:val="0"/>
          <w:numId w:val="9"/>
        </w:numPr>
        <w:spacing w:line="360" w:lineRule="auto"/>
        <w:jc w:val="both"/>
        <w:rPr>
          <w:rFonts w:ascii="Times New Roman" w:hAnsi="Times New Roman" w:cs="Times New Roman"/>
        </w:rPr>
      </w:pPr>
      <w:r w:rsidRPr="00DE351A">
        <w:rPr>
          <w:rFonts w:ascii="Times New Roman" w:hAnsi="Times New Roman" w:cs="Times New Roman"/>
        </w:rPr>
        <w:t>поправка на ликвидность.</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rPr>
        <w:t xml:space="preserve">При анализе финансовой отчетности выявляются разовые и нерегулярные доходы и расходы, рассчитывается свободный денежный </w:t>
      </w:r>
      <w:proofErr w:type="gramStart"/>
      <w:r w:rsidRPr="00DE351A">
        <w:rPr>
          <w:rFonts w:ascii="Times New Roman" w:hAnsi="Times New Roman" w:cs="Times New Roman"/>
        </w:rPr>
        <w:t>поток</w:t>
      </w:r>
      <w:proofErr w:type="gramEnd"/>
      <w:r w:rsidRPr="00DE351A">
        <w:rPr>
          <w:rFonts w:ascii="Times New Roman" w:hAnsi="Times New Roman" w:cs="Times New Roman"/>
        </w:rPr>
        <w:t xml:space="preserve"> и выполняются все другие необходимые расчетные процедуры.</w:t>
      </w:r>
    </w:p>
    <w:p w:rsidR="00114C0F" w:rsidRPr="00DE351A" w:rsidRDefault="00114C0F" w:rsidP="00DE351A">
      <w:pPr>
        <w:spacing w:line="360" w:lineRule="auto"/>
        <w:jc w:val="both"/>
        <w:rPr>
          <w:rFonts w:ascii="Times New Roman" w:hAnsi="Times New Roman" w:cs="Times New Roman"/>
        </w:rPr>
      </w:pPr>
      <w:r w:rsidRPr="00DE351A">
        <w:rPr>
          <w:rFonts w:ascii="Times New Roman" w:hAnsi="Times New Roman" w:cs="Times New Roman"/>
        </w:rPr>
        <w:t>При оценке капитализируемой прибыли решается, что будет принято за основу: прибыль или денежный проток, проводится усреднение и иные корректировки выбранного показателя.</w:t>
      </w:r>
    </w:p>
    <w:p w:rsidR="006244B6" w:rsidRPr="00DE351A" w:rsidRDefault="006244B6" w:rsidP="00DE351A">
      <w:pPr>
        <w:spacing w:line="360" w:lineRule="auto"/>
        <w:jc w:val="both"/>
        <w:rPr>
          <w:rFonts w:ascii="Times New Roman" w:hAnsi="Times New Roman" w:cs="Times New Roman"/>
        </w:rPr>
      </w:pPr>
    </w:p>
    <w:sectPr w:rsidR="006244B6" w:rsidRPr="00DE35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E47"/>
    <w:multiLevelType w:val="multilevel"/>
    <w:tmpl w:val="C06A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B3141"/>
    <w:multiLevelType w:val="multilevel"/>
    <w:tmpl w:val="93FA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EF2343"/>
    <w:multiLevelType w:val="multilevel"/>
    <w:tmpl w:val="E542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63053B"/>
    <w:multiLevelType w:val="multilevel"/>
    <w:tmpl w:val="91A88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547E87"/>
    <w:multiLevelType w:val="multilevel"/>
    <w:tmpl w:val="A9A478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752902"/>
    <w:multiLevelType w:val="multilevel"/>
    <w:tmpl w:val="D39EF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5F0819"/>
    <w:multiLevelType w:val="multilevel"/>
    <w:tmpl w:val="C4129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E3425C"/>
    <w:multiLevelType w:val="multilevel"/>
    <w:tmpl w:val="F2ECF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2930B3"/>
    <w:multiLevelType w:val="multilevel"/>
    <w:tmpl w:val="1662F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lvlOverride w:ilvl="0">
      <w:startOverride w:val="1"/>
    </w:lvlOverride>
  </w:num>
  <w:num w:numId="3">
    <w:abstractNumId w:val="7"/>
    <w:lvlOverride w:ilvl="0">
      <w:startOverride w:val="1"/>
    </w:lvlOverride>
  </w:num>
  <w:num w:numId="4">
    <w:abstractNumId w:val="3"/>
  </w:num>
  <w:num w:numId="5">
    <w:abstractNumId w:val="4"/>
  </w:num>
  <w:num w:numId="6">
    <w:abstractNumId w:val="6"/>
    <w:lvlOverride w:ilvl="0">
      <w:startOverride w:val="1"/>
    </w:lvlOverride>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D6"/>
    <w:rsid w:val="00114C0F"/>
    <w:rsid w:val="003547D6"/>
    <w:rsid w:val="006244B6"/>
    <w:rsid w:val="00DE3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7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2129</Words>
  <Characters>12141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Магфурова</dc:creator>
  <cp:lastModifiedBy>Гульназ</cp:lastModifiedBy>
  <cp:revision>2</cp:revision>
  <dcterms:created xsi:type="dcterms:W3CDTF">2020-04-14T07:28:00Z</dcterms:created>
  <dcterms:modified xsi:type="dcterms:W3CDTF">2020-04-14T07:28:00Z</dcterms:modified>
</cp:coreProperties>
</file>