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BF" w:rsidRPr="00E55E06" w:rsidRDefault="007005BF" w:rsidP="007005BF">
      <w:pPr>
        <w:pStyle w:val="a4"/>
        <w:spacing w:after="0" w:line="360" w:lineRule="auto"/>
        <w:ind w:left="0"/>
        <w:jc w:val="center"/>
        <w:rPr>
          <w:b/>
          <w:sz w:val="28"/>
          <w:szCs w:val="28"/>
        </w:rPr>
      </w:pPr>
      <w:r w:rsidRPr="00E55E06">
        <w:rPr>
          <w:b/>
          <w:sz w:val="28"/>
          <w:szCs w:val="28"/>
        </w:rPr>
        <w:t xml:space="preserve">Бихевиоризм. Теория социального обмена (Дж. </w:t>
      </w:r>
      <w:proofErr w:type="spellStart"/>
      <w:r w:rsidRPr="00E55E06">
        <w:rPr>
          <w:b/>
          <w:sz w:val="28"/>
          <w:szCs w:val="28"/>
        </w:rPr>
        <w:t>Хоманс</w:t>
      </w:r>
      <w:proofErr w:type="spellEnd"/>
      <w:r w:rsidRPr="00E55E06">
        <w:rPr>
          <w:b/>
          <w:sz w:val="28"/>
          <w:szCs w:val="28"/>
        </w:rPr>
        <w:t xml:space="preserve">, П. </w:t>
      </w:r>
      <w:proofErr w:type="spellStart"/>
      <w:r w:rsidRPr="00E55E06">
        <w:rPr>
          <w:b/>
          <w:sz w:val="28"/>
          <w:szCs w:val="28"/>
        </w:rPr>
        <w:t>Блау</w:t>
      </w:r>
      <w:proofErr w:type="spellEnd"/>
      <w:r w:rsidRPr="00E55E06">
        <w:rPr>
          <w:b/>
          <w:sz w:val="28"/>
          <w:szCs w:val="28"/>
        </w:rPr>
        <w:t>).</w:t>
      </w:r>
    </w:p>
    <w:p w:rsidR="007005BF" w:rsidRPr="00E55E06" w:rsidRDefault="007005BF" w:rsidP="007005BF">
      <w:pPr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Символический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интеракционизм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 xml:space="preserve"> (Дж.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E06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Мид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>, Ч.Х. Кули)</w:t>
      </w:r>
    </w:p>
    <w:p w:rsidR="007005BF" w:rsidRPr="00E55E06" w:rsidRDefault="007005BF" w:rsidP="007005BF">
      <w:pPr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GoBack"/>
      <w:r w:rsidRPr="00E55E06">
        <w:rPr>
          <w:rFonts w:ascii="Times New Roman" w:hAnsi="Times New Roman"/>
          <w:b/>
          <w:bCs/>
          <w:kern w:val="36"/>
          <w:sz w:val="28"/>
          <w:szCs w:val="28"/>
        </w:rPr>
        <w:t xml:space="preserve">Лекция </w:t>
      </w:r>
      <w:r w:rsidR="002C0F49">
        <w:rPr>
          <w:rFonts w:ascii="Times New Roman" w:hAnsi="Times New Roman"/>
          <w:b/>
          <w:bCs/>
          <w:kern w:val="36"/>
          <w:sz w:val="28"/>
          <w:szCs w:val="28"/>
        </w:rPr>
        <w:t>14</w:t>
      </w:r>
      <w:r w:rsidRPr="00E55E06"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7005BF" w:rsidRPr="00E55E06" w:rsidRDefault="007005BF" w:rsidP="007005BF">
      <w:pPr>
        <w:spacing w:after="0" w:line="360" w:lineRule="auto"/>
        <w:ind w:firstLine="851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55E06">
        <w:rPr>
          <w:rFonts w:ascii="Times New Roman" w:hAnsi="Times New Roman"/>
          <w:b/>
          <w:bCs/>
          <w:kern w:val="36"/>
          <w:sz w:val="28"/>
          <w:szCs w:val="28"/>
        </w:rPr>
        <w:t>Бихевиоризм и теория социального обмена</w:t>
      </w:r>
    </w:p>
    <w:bookmarkEnd w:id="0"/>
    <w:p w:rsidR="007005BF" w:rsidRPr="00E55E06" w:rsidRDefault="007005BF" w:rsidP="007005BF">
      <w:pPr>
        <w:pStyle w:val="a3"/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55E06">
        <w:rPr>
          <w:rFonts w:ascii="Times New Roman" w:hAnsi="Times New Roman"/>
          <w:bCs/>
          <w:kern w:val="36"/>
          <w:sz w:val="28"/>
          <w:szCs w:val="28"/>
        </w:rPr>
        <w:t>История развития бихевиоризма</w:t>
      </w:r>
    </w:p>
    <w:p w:rsidR="007005BF" w:rsidRPr="00E55E06" w:rsidRDefault="007005BF" w:rsidP="007005BF">
      <w:pPr>
        <w:pStyle w:val="a3"/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Теория социального обмена. </w:t>
      </w:r>
      <w:r w:rsidRPr="00E55E06">
        <w:rPr>
          <w:rFonts w:ascii="Times New Roman" w:hAnsi="Times New Roman"/>
          <w:snapToGrid w:val="0"/>
          <w:sz w:val="28"/>
          <w:szCs w:val="28"/>
        </w:rPr>
        <w:t>Становление теории социального обмена.</w:t>
      </w:r>
    </w:p>
    <w:p w:rsidR="007005BF" w:rsidRPr="00E55E06" w:rsidRDefault="007005BF" w:rsidP="007005BF">
      <w:pPr>
        <w:pStyle w:val="a3"/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Главные положения теории социального обмена.</w:t>
      </w:r>
    </w:p>
    <w:p w:rsidR="007005BF" w:rsidRPr="00E55E06" w:rsidRDefault="007005BF" w:rsidP="007005BF">
      <w:pPr>
        <w:pStyle w:val="a3"/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Понятие социального обмена.</w:t>
      </w:r>
    </w:p>
    <w:p w:rsidR="007005BF" w:rsidRPr="00E55E06" w:rsidRDefault="007005BF" w:rsidP="007005BF">
      <w:pPr>
        <w:spacing w:after="0" w:line="360" w:lineRule="auto"/>
        <w:ind w:left="851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55E06">
        <w:rPr>
          <w:rFonts w:ascii="Times New Roman" w:hAnsi="Times New Roman"/>
          <w:b/>
          <w:bCs/>
          <w:kern w:val="36"/>
          <w:sz w:val="28"/>
          <w:szCs w:val="28"/>
        </w:rPr>
        <w:t>1.История развития бихевиоризма.</w:t>
      </w:r>
    </w:p>
    <w:p w:rsidR="007005BF" w:rsidRPr="00E55E06" w:rsidRDefault="007005BF" w:rsidP="007005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Бихевиоризм (англ. </w:t>
      </w:r>
      <w:proofErr w:type="spellStart"/>
      <w:r w:rsidRPr="00E55E06">
        <w:rPr>
          <w:rFonts w:ascii="Times New Roman" w:hAnsi="Times New Roman"/>
          <w:sz w:val="28"/>
          <w:szCs w:val="28"/>
        </w:rPr>
        <w:t>behaviour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- поведение) - одно из ведущих направлений в психологии конца 19 - начала 20 в. Явился также одним из оснований формирования так называемой "поведенческой" парадигмы в социологии - наряду с работами </w:t>
      </w:r>
      <w:proofErr w:type="spellStart"/>
      <w:r w:rsidRPr="00E55E06">
        <w:rPr>
          <w:rFonts w:ascii="Times New Roman" w:hAnsi="Times New Roman"/>
          <w:sz w:val="28"/>
          <w:szCs w:val="28"/>
        </w:rPr>
        <w:t>Тарда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5E06">
        <w:rPr>
          <w:rFonts w:ascii="Times New Roman" w:hAnsi="Times New Roman"/>
          <w:sz w:val="28"/>
          <w:szCs w:val="28"/>
        </w:rPr>
        <w:t>Лебона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 др. по формам коллективного поведения и психологическим эволюционизмом Уорда, </w:t>
      </w:r>
      <w:proofErr w:type="spellStart"/>
      <w:r w:rsidRPr="00E55E06">
        <w:rPr>
          <w:rFonts w:ascii="Times New Roman" w:hAnsi="Times New Roman"/>
          <w:sz w:val="28"/>
          <w:szCs w:val="28"/>
        </w:rPr>
        <w:t>Гиддингса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 др., - т.е. психологического направления в социологии. </w:t>
      </w:r>
    </w:p>
    <w:p w:rsidR="007005BF" w:rsidRPr="00E55E06" w:rsidRDefault="007005BF" w:rsidP="007005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Родоначальником бихевиоризма считается Э. </w:t>
      </w:r>
      <w:proofErr w:type="spellStart"/>
      <w:r w:rsidRPr="00E55E06">
        <w:rPr>
          <w:rFonts w:ascii="Times New Roman" w:hAnsi="Times New Roman"/>
          <w:sz w:val="28"/>
          <w:szCs w:val="28"/>
        </w:rPr>
        <w:t>Торндайк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Программа и сам термин были впервые предложены Дж. Б. Уотсоном (1913). На формирование научных основ бихевиоризма большое влияние оказали работы И. Павлова и В. Бехтерева. Классиком социальной версии бихевиоризма является Б. Скиннер. В основе бихевиоризма лежит понимание поведения человека как совокупности двигательных, вербальных и эмоциональных реакций на воздействия (стимулы) внешней среды. Общеметодологической предпосылкой бихевиоризма явились принципы философии позитивизма, согласно которым наука должна описывать и анализировать только непосредственно </w:t>
      </w:r>
      <w:proofErr w:type="gramStart"/>
      <w:r w:rsidRPr="00E55E06">
        <w:rPr>
          <w:rFonts w:ascii="Times New Roman" w:hAnsi="Times New Roman"/>
          <w:sz w:val="28"/>
          <w:szCs w:val="28"/>
        </w:rPr>
        <w:t>наблюдаемое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. Отсюда основной тезис бихевиоризма: социология изучает </w:t>
      </w:r>
      <w:proofErr w:type="spellStart"/>
      <w:r w:rsidRPr="00E55E06">
        <w:rPr>
          <w:rFonts w:ascii="Times New Roman" w:hAnsi="Times New Roman"/>
          <w:sz w:val="28"/>
          <w:szCs w:val="28"/>
        </w:rPr>
        <w:t>внешнефиксируемое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поведение, а не сознание, которое в принципе непосредственно не наблюдаемо. Нововведение же в бихевиоризме понимается как совокупность связей, сводимых к схеме "стимул-реакция". Изначально бихевиоризм экстраполировал на социальную жизнь механизмы условных рефлексов,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выявленные на основе экспериментальных исследований психики животных. Согласно бихевиоризму, у человека имеется набор врожденных схем поведения, которые "достраиваются" в процессе научения вырабатываемыми сложными навыками, постоянно психологически подкрепляемыми в сложившихся стратегиях поведения и институционально контролируемыми. Адекватность реакции на стимул определяется в ходе многократных проб и ошибок. Найденная адекватная реакция закрепляется подкрепляемым повторением, автоматизирующим и включающим ее в постоянный поведенческий "репертуар" ("закон упражнения"). Закрепление реакции в "репертуаре" порождает тенденцию к ее воспроизведению в соответствующих типах ситуаций ("закон эффекта"). </w:t>
      </w:r>
    </w:p>
    <w:p w:rsidR="007005BF" w:rsidRPr="00E55E06" w:rsidRDefault="007005BF" w:rsidP="007005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Период наивысшего развития бихевиоризма</w:t>
      </w:r>
      <w:proofErr w:type="gramStart"/>
      <w:r w:rsidRPr="00E55E06">
        <w:rPr>
          <w:rFonts w:ascii="Times New Roman" w:hAnsi="Times New Roman"/>
          <w:sz w:val="28"/>
          <w:szCs w:val="28"/>
        </w:rPr>
        <w:t>.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5E06">
        <w:rPr>
          <w:rFonts w:ascii="Times New Roman" w:hAnsi="Times New Roman"/>
          <w:sz w:val="28"/>
          <w:szCs w:val="28"/>
        </w:rPr>
        <w:t>в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его классической форме приходится на начало 1920-х, когда его подходы получили развитие в антропологии, педагогике, а главное - в социологии. Однако </w:t>
      </w:r>
      <w:proofErr w:type="spellStart"/>
      <w:r w:rsidRPr="00E55E06">
        <w:rPr>
          <w:rFonts w:ascii="Times New Roman" w:hAnsi="Times New Roman"/>
          <w:sz w:val="28"/>
          <w:szCs w:val="28"/>
        </w:rPr>
        <w:t>бихевиористы</w:t>
      </w:r>
      <w:proofErr w:type="spellEnd"/>
      <w:r w:rsidRPr="00E55E06">
        <w:rPr>
          <w:rFonts w:ascii="Times New Roman" w:hAnsi="Times New Roman"/>
          <w:sz w:val="28"/>
          <w:szCs w:val="28"/>
        </w:rPr>
        <w:t>, по сути редуцируя социальное к психическому, а то, в свою очередь, к условно-рефлекторному уровню психики и к ее физиологическим основам, в итоге "встретились с непреодолимыми препятствиями на пути объяснения и интерпретации социальных явлений в терминах этой биологической дисциплины" (П. Сорокин</w:t>
      </w:r>
      <w:proofErr w:type="gramStart"/>
      <w:r w:rsidRPr="00E55E0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. </w:t>
      </w:r>
    </w:p>
    <w:p w:rsidR="007005BF" w:rsidRPr="00E55E06" w:rsidRDefault="007005BF" w:rsidP="007005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Результатом потери популярности бихевиоризма и попыткой самообновления стал </w:t>
      </w:r>
      <w:proofErr w:type="spellStart"/>
      <w:r w:rsidRPr="00E55E06">
        <w:rPr>
          <w:rFonts w:ascii="Times New Roman" w:hAnsi="Times New Roman"/>
          <w:sz w:val="28"/>
          <w:szCs w:val="28"/>
        </w:rPr>
        <w:t>необихевиоризм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, возникший к 1930-м (работы К. </w:t>
      </w:r>
      <w:proofErr w:type="spellStart"/>
      <w:r w:rsidRPr="00E55E06">
        <w:rPr>
          <w:rFonts w:ascii="Times New Roman" w:hAnsi="Times New Roman"/>
          <w:sz w:val="28"/>
          <w:szCs w:val="28"/>
        </w:rPr>
        <w:t>Халла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 Э. </w:t>
      </w:r>
      <w:proofErr w:type="spellStart"/>
      <w:r w:rsidRPr="00E55E06">
        <w:rPr>
          <w:rFonts w:ascii="Times New Roman" w:hAnsi="Times New Roman"/>
          <w:sz w:val="28"/>
          <w:szCs w:val="28"/>
        </w:rPr>
        <w:t>Толмена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). В схему "стимул-реакция" было введено промежуточное звено - совокупность познавательных и побудительных факторов, - позволяющее анализировать регулятивные механизмы поведения. </w:t>
      </w:r>
      <w:proofErr w:type="gramStart"/>
      <w:r w:rsidRPr="00E55E06">
        <w:rPr>
          <w:rFonts w:ascii="Times New Roman" w:hAnsi="Times New Roman"/>
          <w:sz w:val="28"/>
          <w:szCs w:val="28"/>
        </w:rPr>
        <w:t xml:space="preserve">В социологии схема </w:t>
      </w:r>
      <w:proofErr w:type="spellStart"/>
      <w:r w:rsidRPr="00E55E06">
        <w:rPr>
          <w:rFonts w:ascii="Times New Roman" w:hAnsi="Times New Roman"/>
          <w:sz w:val="28"/>
          <w:szCs w:val="28"/>
        </w:rPr>
        <w:t>необихевиоризма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созвучна принципам коррелятивного анализа в функционализме (независимая, латентная и зависимая переменные) как позволяющего описать реальную сеть социальных взаимодействий и взаимоотношений.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То же можно сказать о различных вариантах теорий "социальных ролей". Наибольшее же влияние </w:t>
      </w:r>
      <w:proofErr w:type="spellStart"/>
      <w:r w:rsidRPr="00E55E06">
        <w:rPr>
          <w:rFonts w:ascii="Times New Roman" w:hAnsi="Times New Roman"/>
          <w:sz w:val="28"/>
          <w:szCs w:val="28"/>
        </w:rPr>
        <w:t>бихевиористские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идеи оказали на теорию социального обмена </w:t>
      </w:r>
      <w:proofErr w:type="spellStart"/>
      <w:r w:rsidRPr="00E55E06">
        <w:rPr>
          <w:rFonts w:ascii="Times New Roman" w:hAnsi="Times New Roman"/>
          <w:sz w:val="28"/>
          <w:szCs w:val="28"/>
        </w:rPr>
        <w:t>Блау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и, особенно, </w:t>
      </w:r>
      <w:proofErr w:type="spellStart"/>
      <w:r w:rsidRPr="00E55E06">
        <w:rPr>
          <w:rFonts w:ascii="Times New Roman" w:hAnsi="Times New Roman"/>
          <w:sz w:val="28"/>
          <w:szCs w:val="28"/>
        </w:rPr>
        <w:t>Хоманса</w:t>
      </w:r>
      <w:proofErr w:type="spellEnd"/>
      <w:proofErr w:type="gramStart"/>
      <w:r w:rsidRPr="00E55E0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Как "социальный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бихевиоризм" определял свою позицию </w:t>
      </w:r>
      <w:proofErr w:type="spellStart"/>
      <w:r w:rsidRPr="00E55E06">
        <w:rPr>
          <w:rFonts w:ascii="Times New Roman" w:hAnsi="Times New Roman"/>
          <w:sz w:val="28"/>
          <w:szCs w:val="28"/>
        </w:rPr>
        <w:t>Дж.Г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5E06">
        <w:rPr>
          <w:rFonts w:ascii="Times New Roman" w:hAnsi="Times New Roman"/>
          <w:sz w:val="28"/>
          <w:szCs w:val="28"/>
        </w:rPr>
        <w:t>Мид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, хотя он существенно дистанцировался от идей бихевиоризма.</w:t>
      </w:r>
    </w:p>
    <w:p w:rsidR="007005BF" w:rsidRPr="00E55E06" w:rsidRDefault="007005BF" w:rsidP="007005BF">
      <w:pPr>
        <w:pStyle w:val="3"/>
        <w:widowControl w:val="0"/>
        <w:spacing w:before="0" w:line="360" w:lineRule="auto"/>
        <w:ind w:firstLine="851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E55E06">
        <w:rPr>
          <w:rFonts w:ascii="Times New Roman" w:hAnsi="Times New Roman"/>
          <w:color w:val="auto"/>
          <w:sz w:val="28"/>
          <w:szCs w:val="28"/>
        </w:rPr>
        <w:t xml:space="preserve">2. </w:t>
      </w:r>
      <w:bookmarkStart w:id="1" w:name="_Toc485792291"/>
      <w:r w:rsidRPr="00E55E06">
        <w:rPr>
          <w:rFonts w:ascii="Times New Roman" w:hAnsi="Times New Roman"/>
          <w:color w:val="auto"/>
          <w:sz w:val="28"/>
          <w:szCs w:val="28"/>
        </w:rPr>
        <w:t>Теория социального обмена</w:t>
      </w:r>
      <w:bookmarkEnd w:id="1"/>
      <w:r w:rsidRPr="00E55E06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E55E06">
        <w:rPr>
          <w:rFonts w:ascii="Times New Roman" w:hAnsi="Times New Roman"/>
          <w:snapToGrid w:val="0"/>
          <w:color w:val="auto"/>
          <w:sz w:val="28"/>
          <w:szCs w:val="28"/>
        </w:rPr>
        <w:t>Становление теории социального обмена.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Теория социального обмена, которую, вышедшая в 1992 году в США “Энциклопедия социологии”, называет “одной из основных социологических перспектив в социологии”, рассматривает социальное поведение преимущественно через интеракцию, взаимодействие, подкрепляемое достижением наград и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избежанием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санкций. Объяснение социального обмена посредством категории интеракции базируется на том обстоятельстве, что многие виды вознаграждений, к которым стремятся люди, могут быть получены только в процессе социального взаимодействия людей.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В качестве самостоятельного методологического направления в социологии теория социального обмена оформилась в 50-60-х</w:t>
      </w:r>
      <w:r w:rsidRPr="00E55E06">
        <w:rPr>
          <w:rFonts w:ascii="Times New Roman" w:hAnsi="Times New Roman"/>
          <w:snapToGrid w:val="0"/>
          <w:sz w:val="28"/>
          <w:szCs w:val="28"/>
          <w:lang w:val="en-US"/>
        </w:rPr>
        <w:t> </w:t>
      </w:r>
      <w:r w:rsidRPr="00E55E06">
        <w:rPr>
          <w:rFonts w:ascii="Times New Roman" w:hAnsi="Times New Roman"/>
          <w:snapToGrid w:val="0"/>
          <w:sz w:val="28"/>
          <w:szCs w:val="28"/>
        </w:rPr>
        <w:t xml:space="preserve">гг. нашего века в США в </w:t>
      </w:r>
      <w:proofErr w:type="gramStart"/>
      <w:r w:rsidRPr="00E55E06">
        <w:rPr>
          <w:rFonts w:ascii="Times New Roman" w:hAnsi="Times New Roman"/>
          <w:snapToGrid w:val="0"/>
          <w:sz w:val="28"/>
          <w:szCs w:val="28"/>
        </w:rPr>
        <w:t>полемике</w:t>
      </w:r>
      <w:proofErr w:type="gramEnd"/>
      <w:r w:rsidRPr="00E55E06">
        <w:rPr>
          <w:rFonts w:ascii="Times New Roman" w:hAnsi="Times New Roman"/>
          <w:snapToGrid w:val="0"/>
          <w:sz w:val="28"/>
          <w:szCs w:val="28"/>
        </w:rPr>
        <w:t xml:space="preserve"> прежде всего со структурным функционализмом и в стремлении, с одной стороны, преодолеть статичность, явно не достаточный учет в нем динамических изменений социальных процессов, а с другой стороны, полнее, глубже учесть личностные аспекты, характеризующие социальные процессы.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Центральным в теории обмена является анализ отношений между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акторами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(субъектами деятельности) в различных социальных структурах. Индивиды вступают во взаимодействие для удовлетворения своих потребностей. Социальные отношения и социальные структуры, порождаемые узами, связывающими людей в различные формы ассоциаций, рассматриваются теоретиками данной концепции в качестве основных объектов социального исследования.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Основными темами исследований в рамках этой концепции являются природа и взаимосвязи между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акторами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и распределение власти в рамках структур обмена. Властные и статусные отношения между авторами в различных типах социальных структур определяются как ключевые силы, </w:t>
      </w:r>
      <w:r w:rsidRPr="00E55E06">
        <w:rPr>
          <w:rFonts w:ascii="Times New Roman" w:hAnsi="Times New Roman"/>
          <w:snapToGrid w:val="0"/>
          <w:sz w:val="28"/>
          <w:szCs w:val="28"/>
        </w:rPr>
        <w:lastRenderedPageBreak/>
        <w:t>детерминирующие природу структурных изменений в ходе времени. Наиболее детально представителями этого направления в настоящее время проработаны категории власти, структурных источников власти, динамика использования власти.</w:t>
      </w:r>
    </w:p>
    <w:p w:rsidR="007005BF" w:rsidRPr="00E55E06" w:rsidRDefault="007005BF" w:rsidP="007005BF">
      <w:pPr>
        <w:pStyle w:val="3"/>
        <w:widowControl w:val="0"/>
        <w:spacing w:before="0" w:line="360" w:lineRule="auto"/>
        <w:ind w:firstLine="851"/>
        <w:jc w:val="center"/>
        <w:rPr>
          <w:rFonts w:ascii="Times New Roman" w:hAnsi="Times New Roman"/>
          <w:b w:val="0"/>
          <w:i/>
          <w:snapToGrid w:val="0"/>
          <w:color w:val="auto"/>
          <w:sz w:val="28"/>
          <w:szCs w:val="28"/>
        </w:rPr>
      </w:pPr>
      <w:bookmarkStart w:id="2" w:name="_Toc485792292"/>
      <w:r w:rsidRPr="00E55E06">
        <w:rPr>
          <w:rFonts w:ascii="Times New Roman" w:hAnsi="Times New Roman"/>
          <w:b w:val="0"/>
          <w:i/>
          <w:snapToGrid w:val="0"/>
          <w:color w:val="auto"/>
          <w:sz w:val="28"/>
          <w:szCs w:val="28"/>
        </w:rPr>
        <w:t>Становление теории социального обмена</w:t>
      </w:r>
      <w:bookmarkEnd w:id="2"/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Непосредственными предшественниками теории социального обмена называют такие теоретические направления современной социальной мысли, как социальный бихевиоризм, утилитаризм и структурный функционализм. Кроме того, очень родственны теории социального обмена и основы микроэкономики. Однако корни данного методологического подхода прослеживаются гораздо глубже. </w:t>
      </w:r>
      <w:proofErr w:type="gramStart"/>
      <w:r w:rsidRPr="00E55E06">
        <w:rPr>
          <w:rFonts w:ascii="Times New Roman" w:hAnsi="Times New Roman"/>
          <w:snapToGrid w:val="0"/>
          <w:sz w:val="28"/>
          <w:szCs w:val="28"/>
        </w:rPr>
        <w:t xml:space="preserve">Один из авторов теории социального обмена Питер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Блау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начинает исторический экскурс своей концепции с “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Никомаховой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этики” Аристотеля, отмечая, что Аристотель отличает социальный обмен от экономического, говоря, что первый основывается на закрепленных условиях, но выступает как подарок либо услуга другу, хотя дающий ожидает получить эквивалент, либо что-то большее взамен, как если бы это был не свободный дар, но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займ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55E06">
        <w:rPr>
          <w:rFonts w:ascii="Times New Roman" w:hAnsi="Times New Roman"/>
          <w:snapToGrid w:val="0"/>
          <w:sz w:val="28"/>
          <w:szCs w:val="28"/>
        </w:rPr>
        <w:t xml:space="preserve">В числе предшественников он упоминает также Ларошфуко,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Мандевиля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>, Адама Смита.</w:t>
      </w:r>
    </w:p>
    <w:p w:rsidR="007005BF" w:rsidRPr="00E55E06" w:rsidRDefault="007005BF" w:rsidP="007005BF">
      <w:pPr>
        <w:pStyle w:val="2"/>
        <w:widowControl w:val="0"/>
        <w:spacing w:after="0" w:line="360" w:lineRule="auto"/>
        <w:ind w:left="0" w:firstLine="851"/>
        <w:jc w:val="both"/>
        <w:rPr>
          <w:snapToGrid w:val="0"/>
          <w:sz w:val="28"/>
          <w:szCs w:val="28"/>
        </w:rPr>
      </w:pPr>
      <w:r w:rsidRPr="00E55E06">
        <w:rPr>
          <w:snapToGrid w:val="0"/>
          <w:sz w:val="28"/>
          <w:szCs w:val="28"/>
        </w:rPr>
        <w:t>Гносеологические корни теории социального обмена во многом перекликаются с предшественниками бихевиоризма в социологии. Так, неоспоримо, что ран</w:t>
      </w:r>
      <w:r>
        <w:rPr>
          <w:snapToGrid w:val="0"/>
          <w:sz w:val="28"/>
          <w:szCs w:val="28"/>
        </w:rPr>
        <w:t xml:space="preserve">ние социологические работы </w:t>
      </w:r>
      <w:proofErr w:type="spellStart"/>
      <w:r>
        <w:rPr>
          <w:snapToGrid w:val="0"/>
          <w:sz w:val="28"/>
          <w:szCs w:val="28"/>
        </w:rPr>
        <w:t>П.А.</w:t>
      </w:r>
      <w:r w:rsidRPr="00E55E06">
        <w:rPr>
          <w:snapToGrid w:val="0"/>
          <w:sz w:val="28"/>
          <w:szCs w:val="28"/>
        </w:rPr>
        <w:t>Сорокина</w:t>
      </w:r>
      <w:proofErr w:type="spellEnd"/>
      <w:r w:rsidRPr="00E55E06">
        <w:rPr>
          <w:snapToGrid w:val="0"/>
          <w:sz w:val="28"/>
          <w:szCs w:val="28"/>
        </w:rPr>
        <w:t xml:space="preserve">, в частности его первая монография “Преступление и подвиг: кара и награда”, где были впервые рассмотрены механизмы </w:t>
      </w:r>
      <w:proofErr w:type="gramStart"/>
      <w:r w:rsidRPr="00E55E06">
        <w:rPr>
          <w:snapToGrid w:val="0"/>
          <w:sz w:val="28"/>
          <w:szCs w:val="28"/>
        </w:rPr>
        <w:t>социальных</w:t>
      </w:r>
      <w:proofErr w:type="gramEnd"/>
      <w:r w:rsidRPr="00E55E06">
        <w:rPr>
          <w:snapToGrid w:val="0"/>
          <w:sz w:val="28"/>
          <w:szCs w:val="28"/>
        </w:rPr>
        <w:t xml:space="preserve"> </w:t>
      </w:r>
      <w:proofErr w:type="spellStart"/>
      <w:r w:rsidRPr="00E55E06">
        <w:rPr>
          <w:snapToGrid w:val="0"/>
          <w:sz w:val="28"/>
          <w:szCs w:val="28"/>
        </w:rPr>
        <w:t>экспектаций</w:t>
      </w:r>
      <w:proofErr w:type="spellEnd"/>
      <w:r w:rsidRPr="00E55E06">
        <w:rPr>
          <w:snapToGrid w:val="0"/>
          <w:sz w:val="28"/>
          <w:szCs w:val="28"/>
        </w:rPr>
        <w:t>, могут с полным правом считаться теми социологическими трудами, которые непосредственно предшествовали возникновению теории социального обмена.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b/>
          <w:snapToGrid w:val="0"/>
          <w:sz w:val="28"/>
          <w:szCs w:val="28"/>
        </w:rPr>
      </w:pPr>
      <w:bookmarkStart w:id="3" w:name="_Toc485792294"/>
      <w:r w:rsidRPr="00E55E06">
        <w:rPr>
          <w:rFonts w:ascii="Times New Roman" w:hAnsi="Times New Roman"/>
          <w:b/>
          <w:snapToGrid w:val="0"/>
          <w:sz w:val="28"/>
          <w:szCs w:val="28"/>
        </w:rPr>
        <w:t>3.Главные положения теории социального обмена</w:t>
      </w:r>
      <w:bookmarkEnd w:id="3"/>
      <w:r w:rsidRPr="00E55E0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Основные теоретические формулировки, базирующиеся на допущении о том, что поведение есть функции последствий, соответствующих вознаграждений и наказаний, были разработаны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Хомансом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55E06">
        <w:rPr>
          <w:rFonts w:ascii="Times New Roman" w:hAnsi="Times New Roman"/>
          <w:snapToGrid w:val="0"/>
          <w:sz w:val="28"/>
          <w:szCs w:val="28"/>
        </w:rPr>
        <w:lastRenderedPageBreak/>
        <w:t>в 1961г. и уточнены в 1974 г. Они включают пять главных положений: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1.</w:t>
      </w:r>
      <w:r w:rsidRPr="00E55E06">
        <w:rPr>
          <w:rFonts w:ascii="Times New Roman" w:hAnsi="Times New Roman"/>
          <w:i/>
          <w:snapToGrid w:val="0"/>
          <w:sz w:val="28"/>
          <w:szCs w:val="28"/>
        </w:rPr>
        <w:t>“Положение об успехе”.</w:t>
      </w:r>
      <w:r w:rsidRPr="00E55E06">
        <w:rPr>
          <w:rFonts w:ascii="Times New Roman" w:hAnsi="Times New Roman"/>
          <w:snapToGrid w:val="0"/>
          <w:sz w:val="28"/>
          <w:szCs w:val="28"/>
        </w:rPr>
        <w:t xml:space="preserve"> Чем чаще деятельность вознаграждается, тем более вероятно ее осуществление. Поведение, порождающее позитивные последствия для индивида, с очень большой вероятностью повторяется.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2.</w:t>
      </w:r>
      <w:r w:rsidRPr="00E55E06">
        <w:rPr>
          <w:rFonts w:ascii="Times New Roman" w:hAnsi="Times New Roman"/>
          <w:i/>
          <w:snapToGrid w:val="0"/>
          <w:sz w:val="28"/>
          <w:szCs w:val="28"/>
        </w:rPr>
        <w:t>“Положение о стимуле”.</w:t>
      </w:r>
      <w:r w:rsidRPr="00E55E06">
        <w:rPr>
          <w:rFonts w:ascii="Times New Roman" w:hAnsi="Times New Roman"/>
          <w:snapToGrid w:val="0"/>
          <w:sz w:val="28"/>
          <w:szCs w:val="28"/>
        </w:rPr>
        <w:t xml:space="preserve"> Схожие обстоятельства или аналогичные ситуации будут стимулировать такое поведение, которое вознаграждалось в аналогичных случаях в прошлом. Это позволяет обобщать поведенческие реакции на "новые" ситуации.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3.</w:t>
      </w:r>
      <w:r w:rsidRPr="00E55E06">
        <w:rPr>
          <w:rFonts w:ascii="Times New Roman" w:hAnsi="Times New Roman"/>
          <w:i/>
          <w:snapToGrid w:val="0"/>
          <w:sz w:val="28"/>
          <w:szCs w:val="28"/>
        </w:rPr>
        <w:t>“Положение о ценности”.</w:t>
      </w:r>
      <w:r w:rsidRPr="00E55E06">
        <w:rPr>
          <w:rFonts w:ascii="Times New Roman" w:hAnsi="Times New Roman"/>
          <w:snapToGrid w:val="0"/>
          <w:sz w:val="28"/>
          <w:szCs w:val="28"/>
        </w:rPr>
        <w:t xml:space="preserve"> Чем более ценны результаты действия для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актора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>, тем более вероятно то, что действие будет совершено.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4.</w:t>
      </w:r>
      <w:r w:rsidRPr="00E55E06">
        <w:rPr>
          <w:rFonts w:ascii="Times New Roman" w:hAnsi="Times New Roman"/>
          <w:i/>
          <w:snapToGrid w:val="0"/>
          <w:sz w:val="28"/>
          <w:szCs w:val="28"/>
        </w:rPr>
        <w:t>“Положение о депривации – пресыщении (</w:t>
      </w:r>
      <w:proofErr w:type="spellStart"/>
      <w:r w:rsidRPr="00E55E06">
        <w:rPr>
          <w:rFonts w:ascii="Times New Roman" w:hAnsi="Times New Roman"/>
          <w:i/>
          <w:snapToGrid w:val="0"/>
          <w:sz w:val="28"/>
          <w:szCs w:val="28"/>
        </w:rPr>
        <w:t>satiation</w:t>
      </w:r>
      <w:proofErr w:type="spellEnd"/>
      <w:r w:rsidRPr="00E55E06">
        <w:rPr>
          <w:rFonts w:ascii="Times New Roman" w:hAnsi="Times New Roman"/>
          <w:i/>
          <w:snapToGrid w:val="0"/>
          <w:sz w:val="28"/>
          <w:szCs w:val="28"/>
        </w:rPr>
        <w:t>)”</w:t>
      </w:r>
      <w:r w:rsidRPr="00E55E06">
        <w:rPr>
          <w:rFonts w:ascii="Times New Roman" w:hAnsi="Times New Roman"/>
          <w:snapToGrid w:val="0"/>
          <w:sz w:val="28"/>
          <w:szCs w:val="28"/>
        </w:rPr>
        <w:t xml:space="preserve"> вводит общую идею уменьшения маргинальной полезности (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utility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). Чем чаще человек получал конкретное вознаграждение за действие, тем менее ценным является дополнительный элемент такой награды. Таким </w:t>
      </w:r>
      <w:proofErr w:type="gramStart"/>
      <w:r w:rsidRPr="00E55E06">
        <w:rPr>
          <w:rFonts w:ascii="Times New Roman" w:hAnsi="Times New Roman"/>
          <w:snapToGrid w:val="0"/>
          <w:sz w:val="28"/>
          <w:szCs w:val="28"/>
        </w:rPr>
        <w:t>образом</w:t>
      </w:r>
      <w:proofErr w:type="gramEnd"/>
      <w:r w:rsidRPr="00E55E06">
        <w:rPr>
          <w:rFonts w:ascii="Times New Roman" w:hAnsi="Times New Roman"/>
          <w:snapToGrid w:val="0"/>
          <w:sz w:val="28"/>
          <w:szCs w:val="28"/>
        </w:rPr>
        <w:t xml:space="preserve"> некоторые вознаграждения становятся менее эффективными, приводя к свертыванию некоторых специфических действий. Правда, это положение менее справедливо в отношении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генерализованных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обобщений, таких как деньги и чувства (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affections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>), либо еще чего-нибудь, где насыщение случается с меньшей вероятностью, за исключением крайних случаев.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5.</w:t>
      </w:r>
      <w:r w:rsidRPr="00E55E06">
        <w:rPr>
          <w:rFonts w:ascii="Times New Roman" w:hAnsi="Times New Roman"/>
          <w:i/>
          <w:snapToGrid w:val="0"/>
          <w:sz w:val="28"/>
          <w:szCs w:val="28"/>
        </w:rPr>
        <w:t>“Положение об эмоциональности”.</w:t>
      </w:r>
      <w:r w:rsidRPr="00E55E06">
        <w:rPr>
          <w:rFonts w:ascii="Times New Roman" w:hAnsi="Times New Roman"/>
          <w:snapToGrid w:val="0"/>
          <w:sz w:val="28"/>
          <w:szCs w:val="28"/>
        </w:rPr>
        <w:t xml:space="preserve"> Речь идет об условиях, в которых люди эмоционально реагируют на различные вознаграждающие ситуации. Это положение охватывает два типа реакций. Ожидается, что люди, не получающие того, что они предполагали, становятся рассерженными и начинают вести себя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агрессивно</w:t>
      </w:r>
      <w:proofErr w:type="gramStart"/>
      <w:r w:rsidRPr="00E55E06">
        <w:rPr>
          <w:rFonts w:ascii="Times New Roman" w:hAnsi="Times New Roman"/>
          <w:snapToGrid w:val="0"/>
          <w:sz w:val="28"/>
          <w:szCs w:val="28"/>
        </w:rPr>
        <w:t>.Л</w:t>
      </w:r>
      <w:proofErr w:type="gramEnd"/>
      <w:r w:rsidRPr="00E55E06">
        <w:rPr>
          <w:rFonts w:ascii="Times New Roman" w:hAnsi="Times New Roman"/>
          <w:snapToGrid w:val="0"/>
          <w:sz w:val="28"/>
          <w:szCs w:val="28"/>
        </w:rPr>
        <w:t>юди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же, получающие больше, чем они предполагали, или не получающие предполагающихся наказаний, будут счастливы и ведут себя положительно (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approvingly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>).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color w:val="808080"/>
          <w:sz w:val="28"/>
          <w:szCs w:val="28"/>
        </w:rPr>
      </w:pP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Хоманс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, в частности, использует этот набор идей для объяснения таких явлений, как использование власти и авторитета, сотрудничество,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конформность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, соревнование структуры чувства и итерации, статус и влияние, справедливость, возникновение стратификации. Все эти явления он </w:t>
      </w:r>
      <w:r w:rsidRPr="00E55E06">
        <w:rPr>
          <w:rFonts w:ascii="Times New Roman" w:hAnsi="Times New Roman"/>
          <w:snapToGrid w:val="0"/>
          <w:sz w:val="28"/>
          <w:szCs w:val="28"/>
        </w:rPr>
        <w:lastRenderedPageBreak/>
        <w:t xml:space="preserve">рассматривает преимущественно в терминах природы задействованных межличностных отношений. Более того, он акцентирует внимание на “элементарных” формах поведения. 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В 1964 году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Блау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создал общий контекст анализа макроструктур и процессов, основанный на расширении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микроуровневой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теории процессов социального обмена. Отталкиваясь от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зиммелевского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понимания социальной жизни, он объясняет общую структуру социальных ассоциаций, имеющих корни в таких социальных процессах, как привлекательность, одобрение, взаимность и рациональное поведение. Формирование группы, сплоченность и социальная интеграция, равно как и процессы противостояния, конфликта и несогласия, объясняются в терминах процессов социального обмена. Эти формы социальных ассоциаций, порожденные процессами обмена, со временем создали очень сложные социальные структуры и подструктуры, которые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Блау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и анализирует: как они создавались и изменялись в результате воздействия процессов во властных отношениях; динамику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легитимизации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и политического противостояния. Общие ценности выступают в этих процессах посредниками и делают возможными непрямые обмены, координируя, таким образом, действия в больших общностях. Согласно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Блау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, они также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легитимизируют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социальный порядок.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На протяжении всей своей основной работы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Блау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сопоставляет и сравнивает процессы социального обмена в простых и в более сложных социальных структурах и институтах. Главные социальные силы для него – это дифференциация, интеграция, организация и противостояние (оппозиция). Они и составляют необходимую основу для объяснения диалектики структурных изменений.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Основная проблематика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Блау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связана с темой “обмен и власть”, при этом основной методологической задачей является стратегия построения теории микроструктуры и процессов, базирующихся на эксплицитно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микроуровневой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модели. Ключевой в решении данной задачи становится область перехода – “микро-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макрозвено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”. Правда, во второй половине 80-х </w:t>
      </w:r>
      <w:r w:rsidRPr="00E55E06">
        <w:rPr>
          <w:rFonts w:ascii="Times New Roman" w:hAnsi="Times New Roman"/>
          <w:snapToGrid w:val="0"/>
          <w:sz w:val="28"/>
          <w:szCs w:val="28"/>
        </w:rPr>
        <w:lastRenderedPageBreak/>
        <w:t xml:space="preserve">годов.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Блау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подверг сомнению конструктивность такого подхода, что подлило масла в огонь жарких теоретических дебатов по этому поводу.</w:t>
      </w:r>
    </w:p>
    <w:p w:rsidR="007005BF" w:rsidRPr="00E55E06" w:rsidRDefault="007005BF" w:rsidP="007005BF">
      <w:pPr>
        <w:pStyle w:val="3"/>
        <w:widowControl w:val="0"/>
        <w:spacing w:before="0" w:line="360" w:lineRule="auto"/>
        <w:ind w:firstLine="851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bookmarkStart w:id="4" w:name="_Toc485792296"/>
      <w:r w:rsidRPr="00E55E06">
        <w:rPr>
          <w:rFonts w:ascii="Times New Roman" w:hAnsi="Times New Roman"/>
          <w:snapToGrid w:val="0"/>
          <w:color w:val="auto"/>
          <w:sz w:val="28"/>
          <w:szCs w:val="28"/>
        </w:rPr>
        <w:t>4.Понятие социального обмена</w:t>
      </w:r>
      <w:bookmarkEnd w:id="4"/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Категория обмена может быть вычленена при помощи примеров того, почему человек отдает деньги другим людям: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1) потому что они угрожают ему оружием при ограблении. Хотя это и можно рассматривать как обмен денег на собственную жизнь, все-таки лучше исключить результаты физического насилия из дефиниции термина “обмен”;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2) как благотворительный дар, потому что совесть его требует, чтобы он помогал бедным, не ожидая благодарности от них ни в какой форме. Хотя это и можно рассматривать как обмен денег на внутреннее одобрение своего </w:t>
      </w:r>
      <w:proofErr w:type="gramStart"/>
      <w:r w:rsidRPr="00E55E06">
        <w:rPr>
          <w:rFonts w:ascii="Times New Roman" w:hAnsi="Times New Roman"/>
          <w:snapToGrid w:val="0"/>
          <w:sz w:val="28"/>
          <w:szCs w:val="28"/>
        </w:rPr>
        <w:t>супер-эго</w:t>
      </w:r>
      <w:proofErr w:type="gramEnd"/>
      <w:r w:rsidRPr="00E55E06">
        <w:rPr>
          <w:rFonts w:ascii="Times New Roman" w:hAnsi="Times New Roman"/>
          <w:snapToGrid w:val="0"/>
          <w:sz w:val="28"/>
          <w:szCs w:val="28"/>
        </w:rPr>
        <w:t xml:space="preserve">, лучше все-таки исключить согласие с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интернализованными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нормами из понятия “обмен”;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3) неконтролируемый импульс может побудить человека промотать свои деньги; такое поведение, мотивированное иррациональными побуждениями, также не является примером обмена;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4) человек может раздавать милостыню нищим, потому что он наслаждается изъявлениями их почтительной благодарности, но прекращает раздачу денег, если он не получает такого удовлетворения. Именно этот пример и иллюстрирует сущность социального обмена, в то время как предыдущие помогают очертить границы этого понятия.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Следовательно, понятие обмена относится к добровольным социальным действиям, которые вероятностно обусловлены ответными вознаграждающими реакциями и которые прекращаются, если ожидаемые реакции не наступают.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Согласно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Хомансу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, новичок должен удовлетворить требования группы, для того чтобы его в нее приняли. Коллеги обмениваются советами, и если более высокая компетентность одного из них не дает возможности остальным взаимно тем же способом отплатить за его совет, они реализуют свой долг в виде уважения к его способностям, поднимая тем самым его </w:t>
      </w:r>
      <w:r w:rsidRPr="00E55E06">
        <w:rPr>
          <w:rFonts w:ascii="Times New Roman" w:hAnsi="Times New Roman"/>
          <w:snapToGrid w:val="0"/>
          <w:sz w:val="28"/>
          <w:szCs w:val="28"/>
        </w:rPr>
        <w:lastRenderedPageBreak/>
        <w:t>статус. Даже любовник, чья единственная очевидная забота – доставить наслаждение своей девушке, стремится завоевать ее привязанность в ответ на свою преданность.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>Не только индивиды, но и группы, организованные общности также участвуют в социальном обмене. Например, представители медицинской профессии получают эксклюзивное право заниматься врачеванием в обмен на принятие на себя обязательств удовлетворять потребности общины в медицинских услугах, или же политическая партия делает в своей программе уступки заинтересованной группе в обмен на поддержку во время выборов.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Особое внимание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Хоманс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 xml:space="preserve"> уделяет психологическим процессам, побуждающим людей участвовать в обмене.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Сам термин “социальный обмен” сконструирован, чтобы показать, что социальное взаимодействие за рамками экономической сферы имеет значимые черты сходства с экономическими сделками. Прежде всего, ожидание того, что одолженные услуги </w:t>
      </w:r>
      <w:proofErr w:type="gramStart"/>
      <w:r w:rsidRPr="00E55E06">
        <w:rPr>
          <w:rFonts w:ascii="Times New Roman" w:hAnsi="Times New Roman"/>
          <w:snapToGrid w:val="0"/>
          <w:sz w:val="28"/>
          <w:szCs w:val="28"/>
        </w:rPr>
        <w:t>дадут свои плоды</w:t>
      </w:r>
      <w:proofErr w:type="gramEnd"/>
      <w:r w:rsidRPr="00E55E06">
        <w:rPr>
          <w:rFonts w:ascii="Times New Roman" w:hAnsi="Times New Roman"/>
          <w:snapToGrid w:val="0"/>
          <w:sz w:val="28"/>
          <w:szCs w:val="28"/>
        </w:rPr>
        <w:t xml:space="preserve">, характеризует не только экономические действия, но и социальные, в которых подарки и услуги выглядят как свободно даруемые. Более того, экономический принцип постоянно убывающей маргинальной полезности применим также и к социальному обмену. Совет со стороны коллеги-специалиста очень значим для человека, которому требуется помощь в решении проблемы, но как только проблема разрешена, дальнейшее консультирование не представляет больше ценности. Неважно, как сильно два друга наслаждаются обществом друг друга, по истечении какого-то времени они уже начинают меньше желать оставаться в компании друг с другом. Чем дольше человек концентрируется на получении именно этой социальной награды по сравнению с другими, тем больше значимость упущенных альтернатив будет давить на его сознание, делая именно эту награду сравнительно менее значительной. Все эти примеры демонстрируют принцип </w:t>
      </w:r>
      <w:proofErr w:type="spellStart"/>
      <w:r w:rsidRPr="00E55E06">
        <w:rPr>
          <w:rFonts w:ascii="Times New Roman" w:hAnsi="Times New Roman"/>
          <w:snapToGrid w:val="0"/>
          <w:sz w:val="28"/>
          <w:szCs w:val="28"/>
        </w:rPr>
        <w:t>маргинальности</w:t>
      </w:r>
      <w:proofErr w:type="spellEnd"/>
      <w:r w:rsidRPr="00E55E06">
        <w:rPr>
          <w:rFonts w:ascii="Times New Roman" w:hAnsi="Times New Roman"/>
          <w:snapToGrid w:val="0"/>
          <w:sz w:val="28"/>
          <w:szCs w:val="28"/>
        </w:rPr>
        <w:t>, проявляющийся в социальной жизни.</w:t>
      </w:r>
    </w:p>
    <w:p w:rsidR="007005BF" w:rsidRPr="00E55E06" w:rsidRDefault="007005BF" w:rsidP="007005B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E55E06">
        <w:rPr>
          <w:rFonts w:ascii="Times New Roman" w:hAnsi="Times New Roman"/>
          <w:snapToGrid w:val="0"/>
          <w:sz w:val="28"/>
          <w:szCs w:val="28"/>
        </w:rPr>
        <w:t xml:space="preserve">Однако существуют и важные различия между социальным и чисто </w:t>
      </w:r>
      <w:r w:rsidRPr="00E55E06">
        <w:rPr>
          <w:rFonts w:ascii="Times New Roman" w:hAnsi="Times New Roman"/>
          <w:snapToGrid w:val="0"/>
          <w:sz w:val="28"/>
          <w:szCs w:val="28"/>
        </w:rPr>
        <w:lastRenderedPageBreak/>
        <w:t xml:space="preserve">экономическим обменом. Самое значительное из них состоит в том, что обязательства, возникающие при социальных взаимодействиях, заранее четко не оговорены. 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4694"/>
    <w:multiLevelType w:val="hybridMultilevel"/>
    <w:tmpl w:val="131C5B38"/>
    <w:lvl w:ilvl="0" w:tplc="8676B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BF"/>
    <w:rsid w:val="00203E43"/>
    <w:rsid w:val="002C0F49"/>
    <w:rsid w:val="003B4F83"/>
    <w:rsid w:val="00426B15"/>
    <w:rsid w:val="006330EC"/>
    <w:rsid w:val="0063688D"/>
    <w:rsid w:val="006B1FB8"/>
    <w:rsid w:val="007005BF"/>
    <w:rsid w:val="00745DDF"/>
    <w:rsid w:val="008C10AD"/>
    <w:rsid w:val="00910190"/>
    <w:rsid w:val="00B809F0"/>
    <w:rsid w:val="00E05E35"/>
    <w:rsid w:val="00EC1743"/>
    <w:rsid w:val="00F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05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5BF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7005BF"/>
    <w:pPr>
      <w:ind w:left="720"/>
      <w:contextualSpacing/>
    </w:pPr>
  </w:style>
  <w:style w:type="paragraph" w:styleId="a4">
    <w:name w:val="Body Text Indent"/>
    <w:basedOn w:val="a"/>
    <w:link w:val="a5"/>
    <w:rsid w:val="007005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0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005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0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05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5BF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7005BF"/>
    <w:pPr>
      <w:ind w:left="720"/>
      <w:contextualSpacing/>
    </w:pPr>
  </w:style>
  <w:style w:type="paragraph" w:styleId="a4">
    <w:name w:val="Body Text Indent"/>
    <w:basedOn w:val="a"/>
    <w:link w:val="a5"/>
    <w:rsid w:val="007005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0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005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0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3</cp:revision>
  <dcterms:created xsi:type="dcterms:W3CDTF">2020-04-20T10:17:00Z</dcterms:created>
  <dcterms:modified xsi:type="dcterms:W3CDTF">2020-04-20T10:17:00Z</dcterms:modified>
</cp:coreProperties>
</file>