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5B9ED" w14:textId="7EB1BCFD" w:rsidR="0086458B" w:rsidRPr="006E1873" w:rsidRDefault="006E1873" w:rsidP="006E1873">
      <w:pPr>
        <w:autoSpaceDE w:val="0"/>
        <w:autoSpaceDN w:val="0"/>
        <w:adjustRightInd w:val="0"/>
        <w:spacing w:after="0" w:line="360" w:lineRule="auto"/>
        <w:ind w:left="709" w:hanging="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E1873">
        <w:rPr>
          <w:rFonts w:ascii="Times New Roman" w:hAnsi="Times New Roman" w:cs="Times New Roman"/>
          <w:sz w:val="28"/>
          <w:szCs w:val="28"/>
        </w:rPr>
        <w:t>Овчинникова Юлия ЭКП-3-17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1275"/>
        <w:gridCol w:w="1418"/>
        <w:gridCol w:w="1134"/>
        <w:gridCol w:w="1276"/>
        <w:gridCol w:w="1134"/>
        <w:gridCol w:w="992"/>
        <w:gridCol w:w="992"/>
        <w:gridCol w:w="1134"/>
        <w:gridCol w:w="1134"/>
        <w:gridCol w:w="992"/>
        <w:gridCol w:w="1276"/>
      </w:tblGrid>
      <w:tr w:rsidR="009F41B2" w:rsidRPr="006E1873" w14:paraId="735DEDC4" w14:textId="77777777" w:rsidTr="006E187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5EDE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 xml:space="preserve">Временной интервал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2FF5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A485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45FA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627C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00A6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8C5C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9E23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60BB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D2BB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1FE1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F3AD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1B2" w:rsidRPr="006E1873" w14:paraId="47C4EF95" w14:textId="77777777" w:rsidTr="006E187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61B3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06A3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89BD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C824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D490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56BA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032D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9483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4426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53FC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DB9D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F39E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1B2" w:rsidRPr="006E1873" w14:paraId="1E1E4359" w14:textId="77777777" w:rsidTr="006E187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F248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 xml:space="preserve">Выручка, </w:t>
            </w:r>
            <w:proofErr w:type="spellStart"/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951D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5507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4000*0,55= 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98B5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FCD8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C0F0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8231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64D3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B006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8097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F35A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9D03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</w:tr>
      <w:tr w:rsidR="009F41B2" w:rsidRPr="006E1873" w14:paraId="23D829D4" w14:textId="77777777" w:rsidTr="006E187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7D36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 xml:space="preserve">Переменные издержки, </w:t>
            </w:r>
            <w:proofErr w:type="spellStart"/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25DB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26F6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4000*0,4</w:t>
            </w:r>
          </w:p>
          <w:p w14:paraId="049A947F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= 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798B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A62E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2701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013F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83FC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39EF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4211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6183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C88A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9F41B2" w:rsidRPr="006E1873" w14:paraId="3935CEB9" w14:textId="77777777" w:rsidTr="006E187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7FBC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Постоянные затраты, </w:t>
            </w:r>
            <w:proofErr w:type="spellStart"/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2157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02D7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ABE1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8BEF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4EAE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309E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FB35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09FB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A10D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3269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B2F3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</w:tr>
      <w:tr w:rsidR="009F41B2" w:rsidRPr="006E1873" w14:paraId="48BC1DA1" w14:textId="77777777" w:rsidTr="006E187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5CC2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Амортизация,</w:t>
            </w:r>
          </w:p>
          <w:p w14:paraId="531B583D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0D3A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4794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(1120-</w:t>
            </w:r>
            <w:proofErr w:type="gramStart"/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205)*</w:t>
            </w:r>
            <w:proofErr w:type="gramEnd"/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0,07=</w:t>
            </w:r>
          </w:p>
          <w:p w14:paraId="662BECFA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64,05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2875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64,05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F116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64,05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B800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64,05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BE20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64,05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C1A5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64,05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9FB2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64,05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57D1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64,05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B2FD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64,05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4104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64,05</w:t>
            </w:r>
          </w:p>
        </w:tc>
      </w:tr>
      <w:tr w:rsidR="009F41B2" w:rsidRPr="006E1873" w14:paraId="71FA0BAF" w14:textId="77777777" w:rsidTr="006E187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87F8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Прибыль до налогообложения,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372C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530C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2200-1600-120,8-64,05= 415,15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D8D1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415,15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7B27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415,15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6DF9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415,15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BC08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415,15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38D3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415,15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E027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415,15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086A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415,15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4B8F4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415,15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3871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415,15</w:t>
            </w:r>
          </w:p>
        </w:tc>
      </w:tr>
      <w:tr w:rsidR="009F41B2" w:rsidRPr="006E1873" w14:paraId="42DAEC8D" w14:textId="77777777" w:rsidTr="006E187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211A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прибыль, </w:t>
            </w:r>
            <w:proofErr w:type="spellStart"/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A4E9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368B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415,15*20% =</w:t>
            </w:r>
          </w:p>
          <w:p w14:paraId="59BD394D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83,03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31C3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83,03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EA2B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83,03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55C7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83,03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8B2F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83,03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6662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83,03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B569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83,03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67FF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83,03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55DC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83,03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C9E9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83,03</w:t>
            </w:r>
          </w:p>
        </w:tc>
      </w:tr>
      <w:tr w:rsidR="009F41B2" w:rsidRPr="006E1873" w14:paraId="7B3A42F5" w14:textId="77777777" w:rsidTr="006E1873">
        <w:trPr>
          <w:trHeight w:val="11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AF44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Чистая прибыль,</w:t>
            </w:r>
          </w:p>
          <w:p w14:paraId="329DBFEF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14:paraId="68D913CE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B9D3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B463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415,15-83,03 =</w:t>
            </w:r>
          </w:p>
          <w:p w14:paraId="3EA7009F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332,12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B89E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332,12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4B9B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332,12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5AB7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332,12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FD6B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332,12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AAAA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332,12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2FD2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332,12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7310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332,12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1C9B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332,12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4073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332,12</w:t>
            </w:r>
          </w:p>
        </w:tc>
      </w:tr>
      <w:tr w:rsidR="009F41B2" w:rsidRPr="006E1873" w14:paraId="082685F8" w14:textId="77777777" w:rsidTr="006E187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A047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Чистый текущий доход от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6D3A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3512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332,12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B5B4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332,12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7CC7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332,12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B596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332,12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1D6C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332,12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A195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332,12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B9CE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332,12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E428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332,12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C7F2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332,12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5AAC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332,12+205=</w:t>
            </w:r>
          </w:p>
          <w:p w14:paraId="73831E18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537,12</w:t>
            </w:r>
          </w:p>
        </w:tc>
      </w:tr>
      <w:tr w:rsidR="009F41B2" w:rsidRPr="006E1873" w14:paraId="5FDF1395" w14:textId="77777777" w:rsidTr="006E187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2953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31C3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F329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0,910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4656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0,827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0DEE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0,752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689C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sz w:val="24"/>
                <w:szCs w:val="24"/>
              </w:rPr>
              <w:t xml:space="preserve"> </w:t>
            </w: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0,684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F9F8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0,621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7C02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0,565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1532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0,514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E90B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0,467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3414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0,425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ED22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0,386</w:t>
            </w:r>
          </w:p>
        </w:tc>
      </w:tr>
      <w:tr w:rsidR="009F41B2" w:rsidRPr="006E1873" w14:paraId="010A5C97" w14:textId="77777777" w:rsidTr="006E187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19FE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 xml:space="preserve">Дисконтированный чистый текущий доход, </w:t>
            </w:r>
            <w:proofErr w:type="spellStart"/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D71A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-1560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D244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302,29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6208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274,6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92F7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249,75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E133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227,17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48B4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206,25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FFDF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187,65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1016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170,71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026B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155,1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A866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2FB1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207,3</w:t>
            </w:r>
          </w:p>
        </w:tc>
      </w:tr>
      <w:tr w:rsidR="009F41B2" w:rsidRPr="006E1873" w14:paraId="1A926733" w14:textId="77777777" w:rsidTr="00073C69">
        <w:trPr>
          <w:trHeight w:val="4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C4AE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 xml:space="preserve">Кумулятивный дисконтированный денежный поток, </w:t>
            </w:r>
            <w:proofErr w:type="spellStart"/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070D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-1560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59C5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-1257,71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9F34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-983,11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500D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-733,36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EB7A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-506,19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5840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-299,94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5A2F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-112,29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79C4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58,42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32FE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213,52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E522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354,67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1F4B" w14:textId="77777777" w:rsidR="009F41B2" w:rsidRPr="006E1873" w:rsidRDefault="009F41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873">
              <w:rPr>
                <w:rFonts w:ascii="Times New Roman" w:hAnsi="Times New Roman" w:cs="Times New Roman"/>
                <w:sz w:val="24"/>
                <w:szCs w:val="24"/>
              </w:rPr>
              <w:t>561,97</w:t>
            </w:r>
          </w:p>
        </w:tc>
      </w:tr>
    </w:tbl>
    <w:p w14:paraId="7D8DD92E" w14:textId="77777777" w:rsidR="009F41B2" w:rsidRPr="006E1873" w:rsidRDefault="009F41B2" w:rsidP="009F41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43D573" w14:textId="77777777" w:rsidR="009F41B2" w:rsidRPr="006E1873" w:rsidRDefault="009F41B2" w:rsidP="009F41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873">
        <w:rPr>
          <w:rFonts w:ascii="Times New Roman" w:hAnsi="Times New Roman" w:cs="Times New Roman"/>
          <w:sz w:val="28"/>
          <w:szCs w:val="28"/>
        </w:rPr>
        <w:t>Точка безубыточности составляет:</w:t>
      </w:r>
    </w:p>
    <w:p w14:paraId="20604E62" w14:textId="77777777" w:rsidR="009F41B2" w:rsidRPr="006E1873" w:rsidRDefault="009F41B2" w:rsidP="009F41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873">
        <w:rPr>
          <w:rFonts w:ascii="Times New Roman" w:hAnsi="Times New Roman" w:cs="Times New Roman"/>
          <w:sz w:val="28"/>
          <w:szCs w:val="28"/>
        </w:rPr>
        <w:t>Тбд</w:t>
      </w:r>
      <w:proofErr w:type="spellEnd"/>
      <w:r w:rsidRPr="006E1873">
        <w:rPr>
          <w:rFonts w:ascii="Times New Roman" w:hAnsi="Times New Roman" w:cs="Times New Roman"/>
          <w:sz w:val="28"/>
          <w:szCs w:val="28"/>
        </w:rPr>
        <w:t>=2200*120,8</w:t>
      </w:r>
      <w:proofErr w:type="gramStart"/>
      <w:r w:rsidRPr="006E1873">
        <w:rPr>
          <w:rFonts w:ascii="Times New Roman" w:hAnsi="Times New Roman" w:cs="Times New Roman"/>
          <w:sz w:val="28"/>
          <w:szCs w:val="28"/>
        </w:rPr>
        <w:t>/(</w:t>
      </w:r>
      <w:proofErr w:type="gramEnd"/>
      <w:r w:rsidRPr="006E1873">
        <w:rPr>
          <w:rFonts w:ascii="Times New Roman" w:hAnsi="Times New Roman" w:cs="Times New Roman"/>
          <w:sz w:val="28"/>
          <w:szCs w:val="28"/>
        </w:rPr>
        <w:t xml:space="preserve">2200-1600)=442,93 </w:t>
      </w:r>
      <w:proofErr w:type="spellStart"/>
      <w:r w:rsidRPr="006E1873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</w:p>
    <w:p w14:paraId="29ABC285" w14:textId="47D4EA6D" w:rsidR="009F41B2" w:rsidRDefault="009F41B2" w:rsidP="009F41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1873">
        <w:rPr>
          <w:rFonts w:ascii="Times New Roman" w:hAnsi="Times New Roman" w:cs="Times New Roman"/>
          <w:sz w:val="28"/>
          <w:szCs w:val="28"/>
        </w:rPr>
        <w:t>Тбн</w:t>
      </w:r>
      <w:proofErr w:type="spellEnd"/>
      <w:r w:rsidRPr="006E1873">
        <w:rPr>
          <w:rFonts w:ascii="Times New Roman" w:hAnsi="Times New Roman" w:cs="Times New Roman"/>
          <w:sz w:val="28"/>
          <w:szCs w:val="28"/>
        </w:rPr>
        <w:t>=120,8</w:t>
      </w:r>
      <w:proofErr w:type="gramStart"/>
      <w:r w:rsidRPr="006E1873">
        <w:rPr>
          <w:rFonts w:ascii="Times New Roman" w:hAnsi="Times New Roman" w:cs="Times New Roman"/>
          <w:sz w:val="28"/>
          <w:szCs w:val="28"/>
        </w:rPr>
        <w:t>/(</w:t>
      </w:r>
      <w:proofErr w:type="gramEnd"/>
      <w:r w:rsidRPr="006E1873">
        <w:rPr>
          <w:rFonts w:ascii="Times New Roman" w:hAnsi="Times New Roman" w:cs="Times New Roman"/>
          <w:sz w:val="28"/>
          <w:szCs w:val="28"/>
        </w:rPr>
        <w:t>0,55-0,4)=805 штук.</w:t>
      </w:r>
    </w:p>
    <w:p w14:paraId="4E3239AE" w14:textId="77DB9921" w:rsidR="006E1873" w:rsidRDefault="006E1873" w:rsidP="009F41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8E8DC9" w14:textId="7DE2292A" w:rsidR="006E1873" w:rsidRDefault="006E1873" w:rsidP="009F41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522598" w14:textId="32792371" w:rsidR="006E1873" w:rsidRDefault="006E1873" w:rsidP="009F41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517D1D" w14:textId="0D39C44A" w:rsidR="006E1873" w:rsidRDefault="006E1873" w:rsidP="009F41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2BFD02" w14:textId="3E96236C" w:rsidR="006E1873" w:rsidRDefault="006E1873" w:rsidP="009F41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D9BD14" w14:textId="5C376FBF" w:rsidR="006E1873" w:rsidRDefault="006E1873" w:rsidP="009F41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C6D72A" w14:textId="48394BDC" w:rsidR="006E1873" w:rsidRDefault="006E1873" w:rsidP="009F41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201C73" w14:textId="3FF04656" w:rsidR="006E1873" w:rsidRDefault="006E1873" w:rsidP="009F41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C733EB" w14:textId="2780E302" w:rsidR="006E1873" w:rsidRPr="006E1873" w:rsidRDefault="006E1873" w:rsidP="009F41B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 wp14:anchorId="16919733" wp14:editId="0068145E">
            <wp:extent cx="8705850" cy="43338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14:paraId="388A6B00" w14:textId="03AC312C" w:rsidR="0086458B" w:rsidRPr="0002543D" w:rsidRDefault="0086458B" w:rsidP="0002543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sectPr w:rsidR="0086458B" w:rsidRPr="0002543D" w:rsidSect="006E18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8B"/>
    <w:rsid w:val="0002543D"/>
    <w:rsid w:val="00073C69"/>
    <w:rsid w:val="00223A29"/>
    <w:rsid w:val="006E1873"/>
    <w:rsid w:val="0086458B"/>
    <w:rsid w:val="009F41B2"/>
    <w:rsid w:val="00B875A5"/>
    <w:rsid w:val="00D3077F"/>
    <w:rsid w:val="00D55E4C"/>
    <w:rsid w:val="00DE78F6"/>
    <w:rsid w:val="00E700A4"/>
    <w:rsid w:val="00EB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A397"/>
  <w15:docId w15:val="{8A2A6320-33A2-4CD1-A3BB-19D015C4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5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cat>
            <c:numRef>
              <c:f>Лист1!$A$2:$A$22</c:f>
              <c:numCache>
                <c:formatCode>General</c:formatCode>
                <c:ptCount val="21"/>
                <c:pt idx="0">
                  <c:v>0</c:v>
                </c:pt>
                <c:pt idx="1">
                  <c:v>200</c:v>
                </c:pt>
                <c:pt idx="2">
                  <c:v>400</c:v>
                </c:pt>
                <c:pt idx="3">
                  <c:v>600</c:v>
                </c:pt>
                <c:pt idx="4">
                  <c:v>800</c:v>
                </c:pt>
                <c:pt idx="5">
                  <c:v>1000</c:v>
                </c:pt>
                <c:pt idx="6">
                  <c:v>1200</c:v>
                </c:pt>
                <c:pt idx="7">
                  <c:v>1400</c:v>
                </c:pt>
                <c:pt idx="8">
                  <c:v>1600</c:v>
                </c:pt>
                <c:pt idx="9">
                  <c:v>1800</c:v>
                </c:pt>
                <c:pt idx="10">
                  <c:v>2000</c:v>
                </c:pt>
                <c:pt idx="11">
                  <c:v>2200</c:v>
                </c:pt>
                <c:pt idx="12">
                  <c:v>2400</c:v>
                </c:pt>
                <c:pt idx="13">
                  <c:v>2600</c:v>
                </c:pt>
                <c:pt idx="14">
                  <c:v>2800</c:v>
                </c:pt>
                <c:pt idx="15">
                  <c:v>3000</c:v>
                </c:pt>
                <c:pt idx="16">
                  <c:v>3200</c:v>
                </c:pt>
                <c:pt idx="17">
                  <c:v>3400</c:v>
                </c:pt>
                <c:pt idx="18">
                  <c:v>3600</c:v>
                </c:pt>
                <c:pt idx="19">
                  <c:v>3800</c:v>
                </c:pt>
                <c:pt idx="20">
                  <c:v>4000</c:v>
                </c:pt>
              </c:numCache>
            </c:num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120.8</c:v>
                </c:pt>
                <c:pt idx="1">
                  <c:v>120.8</c:v>
                </c:pt>
                <c:pt idx="2">
                  <c:v>120.8</c:v>
                </c:pt>
                <c:pt idx="3">
                  <c:v>120.8</c:v>
                </c:pt>
                <c:pt idx="4">
                  <c:v>120.8</c:v>
                </c:pt>
                <c:pt idx="5">
                  <c:v>120.8</c:v>
                </c:pt>
                <c:pt idx="6">
                  <c:v>120.8</c:v>
                </c:pt>
                <c:pt idx="7">
                  <c:v>120.8</c:v>
                </c:pt>
                <c:pt idx="8">
                  <c:v>120.8</c:v>
                </c:pt>
                <c:pt idx="9">
                  <c:v>120.8</c:v>
                </c:pt>
                <c:pt idx="10">
                  <c:v>120.8</c:v>
                </c:pt>
                <c:pt idx="11">
                  <c:v>120.8</c:v>
                </c:pt>
                <c:pt idx="12">
                  <c:v>120.8</c:v>
                </c:pt>
                <c:pt idx="13">
                  <c:v>120.8</c:v>
                </c:pt>
                <c:pt idx="14">
                  <c:v>120.8</c:v>
                </c:pt>
                <c:pt idx="15">
                  <c:v>120.8</c:v>
                </c:pt>
                <c:pt idx="16">
                  <c:v>120.8</c:v>
                </c:pt>
                <c:pt idx="17">
                  <c:v>120.8</c:v>
                </c:pt>
                <c:pt idx="18">
                  <c:v>120.8</c:v>
                </c:pt>
                <c:pt idx="19">
                  <c:v>120.8</c:v>
                </c:pt>
                <c:pt idx="20">
                  <c:v>120.8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C86-4E28-B2E6-E0DFF3DE31E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marker>
            <c:symbol val="none"/>
          </c:marker>
          <c:cat>
            <c:numRef>
              <c:f>Лист1!$A$2:$A$22</c:f>
              <c:numCache>
                <c:formatCode>General</c:formatCode>
                <c:ptCount val="21"/>
                <c:pt idx="0">
                  <c:v>0</c:v>
                </c:pt>
                <c:pt idx="1">
                  <c:v>200</c:v>
                </c:pt>
                <c:pt idx="2">
                  <c:v>400</c:v>
                </c:pt>
                <c:pt idx="3">
                  <c:v>600</c:v>
                </c:pt>
                <c:pt idx="4">
                  <c:v>800</c:v>
                </c:pt>
                <c:pt idx="5">
                  <c:v>1000</c:v>
                </c:pt>
                <c:pt idx="6">
                  <c:v>1200</c:v>
                </c:pt>
                <c:pt idx="7">
                  <c:v>1400</c:v>
                </c:pt>
                <c:pt idx="8">
                  <c:v>1600</c:v>
                </c:pt>
                <c:pt idx="9">
                  <c:v>1800</c:v>
                </c:pt>
                <c:pt idx="10">
                  <c:v>2000</c:v>
                </c:pt>
                <c:pt idx="11">
                  <c:v>2200</c:v>
                </c:pt>
                <c:pt idx="12">
                  <c:v>2400</c:v>
                </c:pt>
                <c:pt idx="13">
                  <c:v>2600</c:v>
                </c:pt>
                <c:pt idx="14">
                  <c:v>2800</c:v>
                </c:pt>
                <c:pt idx="15">
                  <c:v>3000</c:v>
                </c:pt>
                <c:pt idx="16">
                  <c:v>3200</c:v>
                </c:pt>
                <c:pt idx="17">
                  <c:v>3400</c:v>
                </c:pt>
                <c:pt idx="18">
                  <c:v>3600</c:v>
                </c:pt>
                <c:pt idx="19">
                  <c:v>3800</c:v>
                </c:pt>
                <c:pt idx="20">
                  <c:v>4000</c:v>
                </c:pt>
              </c:numCache>
            </c:numRef>
          </c:cat>
          <c:val>
            <c:numRef>
              <c:f>Лист1!$C$2:$C$22</c:f>
              <c:numCache>
                <c:formatCode>General</c:formatCode>
                <c:ptCount val="21"/>
                <c:pt idx="0">
                  <c:v>2200</c:v>
                </c:pt>
                <c:pt idx="1">
                  <c:v>2200</c:v>
                </c:pt>
                <c:pt idx="2">
                  <c:v>2200</c:v>
                </c:pt>
                <c:pt idx="3">
                  <c:v>2200</c:v>
                </c:pt>
                <c:pt idx="4">
                  <c:v>2200</c:v>
                </c:pt>
                <c:pt idx="5">
                  <c:v>2200</c:v>
                </c:pt>
                <c:pt idx="6">
                  <c:v>2200</c:v>
                </c:pt>
                <c:pt idx="7">
                  <c:v>2200</c:v>
                </c:pt>
                <c:pt idx="8">
                  <c:v>2200</c:v>
                </c:pt>
                <c:pt idx="9">
                  <c:v>2200</c:v>
                </c:pt>
                <c:pt idx="10">
                  <c:v>2200</c:v>
                </c:pt>
                <c:pt idx="11">
                  <c:v>2200</c:v>
                </c:pt>
                <c:pt idx="12">
                  <c:v>2200</c:v>
                </c:pt>
                <c:pt idx="13">
                  <c:v>2200</c:v>
                </c:pt>
                <c:pt idx="14">
                  <c:v>2200</c:v>
                </c:pt>
                <c:pt idx="15">
                  <c:v>2200</c:v>
                </c:pt>
                <c:pt idx="16">
                  <c:v>2200</c:v>
                </c:pt>
                <c:pt idx="17">
                  <c:v>2200</c:v>
                </c:pt>
                <c:pt idx="18">
                  <c:v>2200</c:v>
                </c:pt>
                <c:pt idx="19">
                  <c:v>2200</c:v>
                </c:pt>
                <c:pt idx="20">
                  <c:v>2200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C86-4E28-B2E6-E0DFF3DE31E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marker>
            <c:symbol val="none"/>
          </c:marker>
          <c:cat>
            <c:numRef>
              <c:f>Лист1!$A$2:$A$22</c:f>
              <c:numCache>
                <c:formatCode>General</c:formatCode>
                <c:ptCount val="21"/>
                <c:pt idx="0">
                  <c:v>0</c:v>
                </c:pt>
                <c:pt idx="1">
                  <c:v>200</c:v>
                </c:pt>
                <c:pt idx="2">
                  <c:v>400</c:v>
                </c:pt>
                <c:pt idx="3">
                  <c:v>600</c:v>
                </c:pt>
                <c:pt idx="4">
                  <c:v>800</c:v>
                </c:pt>
                <c:pt idx="5">
                  <c:v>1000</c:v>
                </c:pt>
                <c:pt idx="6">
                  <c:v>1200</c:v>
                </c:pt>
                <c:pt idx="7">
                  <c:v>1400</c:v>
                </c:pt>
                <c:pt idx="8">
                  <c:v>1600</c:v>
                </c:pt>
                <c:pt idx="9">
                  <c:v>1800</c:v>
                </c:pt>
                <c:pt idx="10">
                  <c:v>2000</c:v>
                </c:pt>
                <c:pt idx="11">
                  <c:v>2200</c:v>
                </c:pt>
                <c:pt idx="12">
                  <c:v>2400</c:v>
                </c:pt>
                <c:pt idx="13">
                  <c:v>2600</c:v>
                </c:pt>
                <c:pt idx="14">
                  <c:v>2800</c:v>
                </c:pt>
                <c:pt idx="15">
                  <c:v>3000</c:v>
                </c:pt>
                <c:pt idx="16">
                  <c:v>3200</c:v>
                </c:pt>
                <c:pt idx="17">
                  <c:v>3400</c:v>
                </c:pt>
                <c:pt idx="18">
                  <c:v>3600</c:v>
                </c:pt>
                <c:pt idx="19">
                  <c:v>3800</c:v>
                </c:pt>
                <c:pt idx="20">
                  <c:v>4000</c:v>
                </c:pt>
              </c:numCache>
            </c:numRef>
          </c:cat>
          <c:val>
            <c:numRef>
              <c:f>Лист1!$D$2:$D$22</c:f>
              <c:numCache>
                <c:formatCode>General</c:formatCode>
                <c:ptCount val="21"/>
                <c:pt idx="0">
                  <c:v>0</c:v>
                </c:pt>
                <c:pt idx="1">
                  <c:v>110.00000000000001</c:v>
                </c:pt>
                <c:pt idx="2">
                  <c:v>220.00000000000003</c:v>
                </c:pt>
                <c:pt idx="3">
                  <c:v>330</c:v>
                </c:pt>
                <c:pt idx="4">
                  <c:v>440.00000000000006</c:v>
                </c:pt>
                <c:pt idx="5">
                  <c:v>550</c:v>
                </c:pt>
                <c:pt idx="6">
                  <c:v>660</c:v>
                </c:pt>
                <c:pt idx="7">
                  <c:v>770.00000000000011</c:v>
                </c:pt>
                <c:pt idx="8">
                  <c:v>880.00000000000011</c:v>
                </c:pt>
                <c:pt idx="9">
                  <c:v>990.00000000000011</c:v>
                </c:pt>
                <c:pt idx="10">
                  <c:v>1100</c:v>
                </c:pt>
                <c:pt idx="11">
                  <c:v>1210</c:v>
                </c:pt>
                <c:pt idx="12">
                  <c:v>1320</c:v>
                </c:pt>
                <c:pt idx="13">
                  <c:v>1430.0000000000002</c:v>
                </c:pt>
                <c:pt idx="14">
                  <c:v>1540.0000000000002</c:v>
                </c:pt>
                <c:pt idx="15">
                  <c:v>1650.0000000000002</c:v>
                </c:pt>
                <c:pt idx="16">
                  <c:v>1760.0000000000002</c:v>
                </c:pt>
                <c:pt idx="17">
                  <c:v>1870.0000000000002</c:v>
                </c:pt>
                <c:pt idx="18">
                  <c:v>1980.0000000000002</c:v>
                </c:pt>
                <c:pt idx="19">
                  <c:v>2090</c:v>
                </c:pt>
                <c:pt idx="20">
                  <c:v>2200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C86-4E28-B2E6-E0DFF3DE31E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</c:v>
                </c:pt>
              </c:strCache>
            </c:strRef>
          </c:tx>
          <c:marker>
            <c:symbol val="none"/>
          </c:marker>
          <c:cat>
            <c:numRef>
              <c:f>Лист1!$A$2:$A$22</c:f>
              <c:numCache>
                <c:formatCode>General</c:formatCode>
                <c:ptCount val="21"/>
                <c:pt idx="0">
                  <c:v>0</c:v>
                </c:pt>
                <c:pt idx="1">
                  <c:v>200</c:v>
                </c:pt>
                <c:pt idx="2">
                  <c:v>400</c:v>
                </c:pt>
                <c:pt idx="3">
                  <c:v>600</c:v>
                </c:pt>
                <c:pt idx="4">
                  <c:v>800</c:v>
                </c:pt>
                <c:pt idx="5">
                  <c:v>1000</c:v>
                </c:pt>
                <c:pt idx="6">
                  <c:v>1200</c:v>
                </c:pt>
                <c:pt idx="7">
                  <c:v>1400</c:v>
                </c:pt>
                <c:pt idx="8">
                  <c:v>1600</c:v>
                </c:pt>
                <c:pt idx="9">
                  <c:v>1800</c:v>
                </c:pt>
                <c:pt idx="10">
                  <c:v>2000</c:v>
                </c:pt>
                <c:pt idx="11">
                  <c:v>2200</c:v>
                </c:pt>
                <c:pt idx="12">
                  <c:v>2400</c:v>
                </c:pt>
                <c:pt idx="13">
                  <c:v>2600</c:v>
                </c:pt>
                <c:pt idx="14">
                  <c:v>2800</c:v>
                </c:pt>
                <c:pt idx="15">
                  <c:v>3000</c:v>
                </c:pt>
                <c:pt idx="16">
                  <c:v>3200</c:v>
                </c:pt>
                <c:pt idx="17">
                  <c:v>3400</c:v>
                </c:pt>
                <c:pt idx="18">
                  <c:v>3600</c:v>
                </c:pt>
                <c:pt idx="19">
                  <c:v>3800</c:v>
                </c:pt>
                <c:pt idx="20">
                  <c:v>4000</c:v>
                </c:pt>
              </c:numCache>
            </c:numRef>
          </c:cat>
          <c:val>
            <c:numRef>
              <c:f>Лист1!$E$2:$E$22</c:f>
              <c:numCache>
                <c:formatCode>General</c:formatCode>
                <c:ptCount val="21"/>
                <c:pt idx="0">
                  <c:v>1720.8</c:v>
                </c:pt>
                <c:pt idx="1">
                  <c:v>1720.8</c:v>
                </c:pt>
                <c:pt idx="2">
                  <c:v>1720.8</c:v>
                </c:pt>
                <c:pt idx="3">
                  <c:v>1720.8</c:v>
                </c:pt>
                <c:pt idx="4">
                  <c:v>1720.8</c:v>
                </c:pt>
                <c:pt idx="5">
                  <c:v>1720.8</c:v>
                </c:pt>
                <c:pt idx="6">
                  <c:v>1720.8</c:v>
                </c:pt>
                <c:pt idx="7">
                  <c:v>1720.8</c:v>
                </c:pt>
                <c:pt idx="8">
                  <c:v>1720.8</c:v>
                </c:pt>
                <c:pt idx="9">
                  <c:v>1720.8</c:v>
                </c:pt>
                <c:pt idx="10">
                  <c:v>1720.8</c:v>
                </c:pt>
                <c:pt idx="11">
                  <c:v>1720.8</c:v>
                </c:pt>
                <c:pt idx="12">
                  <c:v>1720.8</c:v>
                </c:pt>
                <c:pt idx="13">
                  <c:v>1720.8</c:v>
                </c:pt>
                <c:pt idx="14">
                  <c:v>1720.8</c:v>
                </c:pt>
                <c:pt idx="15">
                  <c:v>1720.8</c:v>
                </c:pt>
                <c:pt idx="16">
                  <c:v>1720.8</c:v>
                </c:pt>
                <c:pt idx="17">
                  <c:v>1720.8</c:v>
                </c:pt>
                <c:pt idx="18">
                  <c:v>1720.8</c:v>
                </c:pt>
                <c:pt idx="19">
                  <c:v>1720.8</c:v>
                </c:pt>
                <c:pt idx="20">
                  <c:v>1720.8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C86-4E28-B2E6-E0DFF3DE31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5277952"/>
        <c:axId val="155283840"/>
      </c:lineChart>
      <c:catAx>
        <c:axId val="155277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5283840"/>
        <c:crosses val="autoZero"/>
        <c:auto val="1"/>
        <c:lblAlgn val="ctr"/>
        <c:lblOffset val="100"/>
        <c:noMultiLvlLbl val="0"/>
      </c:catAx>
      <c:valAx>
        <c:axId val="155283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27795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0.0744</cdr:x>
      <cdr:y>0.31158</cdr:y>
    </cdr:from>
    <cdr:to>
      <cdr:x>0.96297</cdr:x>
      <cdr:y>0.87912</cdr:y>
    </cdr:to>
    <cdr:sp macro="" textlink="">
      <cdr:nvSpPr>
        <cdr:cNvPr id="5" name="Прямая соединительная линия 4"/>
        <cdr:cNvSpPr/>
      </cdr:nvSpPr>
      <cdr:spPr>
        <a:xfrm xmlns:a="http://schemas.openxmlformats.org/drawingml/2006/main" flipV="1">
          <a:off x="647700" y="1350366"/>
          <a:ext cx="7735788" cy="2459633"/>
        </a:xfrm>
        <a:prstGeom xmlns:a="http://schemas.openxmlformats.org/drawingml/2006/main" prst="line">
          <a:avLst/>
        </a:prstGeom>
        <a:ln xmlns:a="http://schemas.openxmlformats.org/drawingml/2006/main" w="28575">
          <a:solidFill>
            <a:srgbClr val="FFC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0.27134</cdr:x>
      <cdr:y>0.73407</cdr:y>
    </cdr:from>
    <cdr:to>
      <cdr:x>0.28665</cdr:x>
      <cdr:y>0.76044</cdr:y>
    </cdr:to>
    <cdr:sp macro="" textlink="">
      <cdr:nvSpPr>
        <cdr:cNvPr id="6" name="Овал 5"/>
        <cdr:cNvSpPr/>
      </cdr:nvSpPr>
      <cdr:spPr>
        <a:xfrm xmlns:a="http://schemas.openxmlformats.org/drawingml/2006/main">
          <a:off x="2362230" y="3181356"/>
          <a:ext cx="133320" cy="114293"/>
        </a:xfrm>
        <a:prstGeom xmlns:a="http://schemas.openxmlformats.org/drawingml/2006/main" prst="ellipse">
          <a:avLst/>
        </a:prstGeom>
        <a:solidFill xmlns:a="http://schemas.openxmlformats.org/drawingml/2006/main">
          <a:schemeClr val="tx2"/>
        </a:solidFill>
        <a:ln xmlns:a="http://schemas.openxmlformats.org/drawingml/2006/main">
          <a:solidFill>
            <a:schemeClr val="tx2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0.25383</cdr:x>
      <cdr:y>0.69231</cdr:y>
    </cdr:from>
    <cdr:to>
      <cdr:x>0.27352</cdr:x>
      <cdr:y>0.73846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2209800" y="3000375"/>
          <a:ext cx="17145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/>
            <a:t>А</a:t>
          </a:r>
        </a:p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Пользователь Windows</cp:lastModifiedBy>
  <cp:revision>2</cp:revision>
  <dcterms:created xsi:type="dcterms:W3CDTF">2020-10-27T20:28:00Z</dcterms:created>
  <dcterms:modified xsi:type="dcterms:W3CDTF">2020-10-27T20:28:00Z</dcterms:modified>
</cp:coreProperties>
</file>