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Найдем точку безубыточности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Точка безубыточности рассчитывается по формуле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Точка безубыточности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=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Общие постоянные затраты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цена товара – переменные затраты на единицу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Подставим данные задачи и найдем точку безубыточности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Точка безубыточности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= (6000000 + 1500000 + 2000000) / [300000 - (60000 + 25000 + 20000 + 15000)] = 53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Выручка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*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Количество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= 300000*80=24 000 000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Валовая маржа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маржинальная прибыль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рассчитывается по формуле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Маржинальная прибыль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Выручка – Общие переменные затраты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24 000 000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80 * (60000 + 25000 + 20000 + 15000) = 14 400 000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Валовая прибыль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Выручка – Переменные затраты – Постоянные затраты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24 000 000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80 * (60000+25000+ 20000 + 15000) - (6000000 + 1500000 + 2000000)= 4 900 000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Чистая прибыль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Валовая прибыль – Налог на прибыль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= 4 900 000 - 0,2*4 900 000 = 3 9 20 000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Точка безубыточности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критический выпуск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= 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Выручка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 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валовая маржа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14,4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 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валовая прибыль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4,9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 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Чистая прибыль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3,92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 руб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