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30" w:rsidRPr="00724130" w:rsidRDefault="00724130" w:rsidP="00724130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Овчинникова Юлия ЭКП-3-17</w:t>
      </w:r>
    </w:p>
    <w:p w:rsidR="002D15C3" w:rsidRPr="00192BD7" w:rsidRDefault="002D15C3" w:rsidP="002D15C3">
      <w:pPr>
        <w:keepNext/>
        <w:jc w:val="center"/>
        <w:rPr>
          <w:b/>
          <w:sz w:val="28"/>
          <w:szCs w:val="28"/>
        </w:rPr>
      </w:pPr>
      <w:r w:rsidRPr="00192BD7">
        <w:rPr>
          <w:b/>
          <w:sz w:val="28"/>
          <w:szCs w:val="28"/>
        </w:rPr>
        <w:t>Вариант 1</w:t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1.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15C3" w:rsidRPr="00192BD7" w:rsidRDefault="0001707F" w:rsidP="002D15C3">
      <w:pPr>
        <w:rPr>
          <w:sz w:val="28"/>
          <w:szCs w:val="28"/>
        </w:rPr>
      </w:pPr>
      <w:r>
        <w:rPr>
          <w:sz w:val="28"/>
          <w:szCs w:val="28"/>
        </w:rPr>
        <w:t xml:space="preserve">По способу учета фактора времени </w:t>
      </w:r>
      <w:r w:rsidR="002D15C3" w:rsidRPr="00192BD7">
        <w:rPr>
          <w:sz w:val="28"/>
          <w:szCs w:val="28"/>
        </w:rPr>
        <w:t>методы экономиче</w:t>
      </w:r>
      <w:r>
        <w:rPr>
          <w:sz w:val="28"/>
          <w:szCs w:val="28"/>
        </w:rPr>
        <w:t xml:space="preserve">ской оценки инвестиций делятся </w:t>
      </w:r>
      <w:r w:rsidR="002D15C3" w:rsidRPr="00192BD7">
        <w:rPr>
          <w:sz w:val="28"/>
          <w:szCs w:val="28"/>
        </w:rPr>
        <w:t>на:</w:t>
      </w:r>
    </w:p>
    <w:p w:rsidR="002D15C3" w:rsidRPr="00724130" w:rsidRDefault="002D15C3" w:rsidP="00724130">
      <w:pPr>
        <w:pStyle w:val="a5"/>
        <w:numPr>
          <w:ilvl w:val="0"/>
          <w:numId w:val="1"/>
        </w:numPr>
        <w:rPr>
          <w:sz w:val="30"/>
          <w:szCs w:val="30"/>
        </w:rPr>
      </w:pPr>
      <w:r w:rsidRPr="00724130">
        <w:rPr>
          <w:sz w:val="30"/>
          <w:szCs w:val="30"/>
        </w:rPr>
        <w:t>статические (простые) и динамические</w:t>
      </w:r>
      <w:r w:rsidR="00600D27" w:rsidRPr="00724130">
        <w:rPr>
          <w:sz w:val="30"/>
          <w:szCs w:val="30"/>
        </w:rPr>
        <w:t>;</w:t>
      </w:r>
    </w:p>
    <w:p w:rsidR="002D15C3" w:rsidRPr="00192BD7" w:rsidRDefault="002D15C3" w:rsidP="00F839B2">
      <w:pPr>
        <w:ind w:left="216" w:hanging="72"/>
        <w:rPr>
          <w:sz w:val="28"/>
          <w:szCs w:val="28"/>
        </w:rPr>
      </w:pPr>
      <w:r w:rsidRPr="00192BD7">
        <w:rPr>
          <w:sz w:val="28"/>
          <w:szCs w:val="28"/>
        </w:rPr>
        <w:t>количественные и качественные</w:t>
      </w:r>
      <w:r w:rsidR="00600D27">
        <w:rPr>
          <w:sz w:val="28"/>
          <w:szCs w:val="28"/>
        </w:rPr>
        <w:t>;</w:t>
      </w:r>
    </w:p>
    <w:p w:rsidR="002D15C3" w:rsidRPr="00192BD7" w:rsidRDefault="002D15C3" w:rsidP="00F839B2">
      <w:pPr>
        <w:ind w:left="216" w:hanging="72"/>
        <w:rPr>
          <w:sz w:val="28"/>
          <w:szCs w:val="28"/>
        </w:rPr>
      </w:pPr>
      <w:r w:rsidRPr="00192BD7">
        <w:rPr>
          <w:sz w:val="28"/>
          <w:szCs w:val="28"/>
        </w:rPr>
        <w:t>простые и сложные</w:t>
      </w:r>
      <w:r w:rsidR="00600D27">
        <w:rPr>
          <w:sz w:val="28"/>
          <w:szCs w:val="28"/>
        </w:rPr>
        <w:t>;</w:t>
      </w:r>
    </w:p>
    <w:p w:rsidR="002D15C3" w:rsidRPr="00192BD7" w:rsidRDefault="002D15C3" w:rsidP="00F839B2">
      <w:pPr>
        <w:ind w:left="216" w:hanging="72"/>
        <w:rPr>
          <w:sz w:val="28"/>
          <w:szCs w:val="28"/>
        </w:rPr>
      </w:pPr>
      <w:r w:rsidRPr="00192BD7">
        <w:rPr>
          <w:sz w:val="28"/>
          <w:szCs w:val="28"/>
        </w:rPr>
        <w:t>абсолютные и относительные</w:t>
      </w:r>
      <w:r w:rsidR="00600D27">
        <w:rPr>
          <w:sz w:val="28"/>
          <w:szCs w:val="28"/>
        </w:rPr>
        <w:t>.</w:t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2.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Дополните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Дисконтированием называется процедура приведения разновр</w:t>
      </w:r>
      <w:r w:rsidR="00566E90">
        <w:rPr>
          <w:sz w:val="28"/>
          <w:szCs w:val="28"/>
        </w:rPr>
        <w:t xml:space="preserve">еменных затрат и результатов на </w:t>
      </w:r>
      <w:r w:rsidR="00566E90" w:rsidRPr="00724130">
        <w:rPr>
          <w:b/>
          <w:sz w:val="30"/>
          <w:szCs w:val="30"/>
        </w:rPr>
        <w:t>начало</w:t>
      </w:r>
      <w:r w:rsidR="00566E90"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t>расчетного периода.</w:t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3.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Дополните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Норма дисконта, используемая для оценки эффективности участия предприятия в проекте и устанавливаемая инвестором самостоятель</w:t>
      </w:r>
      <w:r w:rsidR="00F37580">
        <w:rPr>
          <w:sz w:val="28"/>
          <w:szCs w:val="28"/>
        </w:rPr>
        <w:t xml:space="preserve">но, называется безрисковой </w:t>
      </w:r>
      <w:r w:rsidR="00F37580" w:rsidRPr="00724130">
        <w:rPr>
          <w:b/>
          <w:color w:val="000000" w:themeColor="text1"/>
          <w:sz w:val="30"/>
          <w:szCs w:val="30"/>
          <w:shd w:val="clear" w:color="auto" w:fill="FFFFFF"/>
        </w:rPr>
        <w:t>коммерческой</w:t>
      </w:r>
      <w:r w:rsidR="00F37580" w:rsidRPr="00192BD7"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t>нормой.</w:t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4.</w:t>
      </w:r>
    </w:p>
    <w:p w:rsidR="002D15C3" w:rsidRPr="00192BD7" w:rsidRDefault="002D15C3" w:rsidP="002D15C3">
      <w:pPr>
        <w:ind w:firstLine="709"/>
        <w:jc w:val="both"/>
        <w:rPr>
          <w:sz w:val="28"/>
          <w:szCs w:val="28"/>
        </w:rPr>
      </w:pPr>
      <w:r w:rsidRPr="00192BD7">
        <w:rPr>
          <w:sz w:val="28"/>
          <w:szCs w:val="28"/>
        </w:rPr>
        <w:t>Название формулы:</w:t>
      </w:r>
    </w:p>
    <w:p w:rsidR="00724130" w:rsidRDefault="002D15C3" w:rsidP="00724130">
      <w:pPr>
        <w:ind w:firstLine="709"/>
        <w:jc w:val="both"/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E1E">
        <w:rPr>
          <w:sz w:val="28"/>
          <w:szCs w:val="28"/>
        </w:rPr>
        <w:t xml:space="preserve"> </w:t>
      </w:r>
    </w:p>
    <w:p w:rsidR="00724130" w:rsidRDefault="00724130" w:rsidP="00724130">
      <w:pPr>
        <w:ind w:firstLine="709"/>
        <w:jc w:val="both"/>
        <w:rPr>
          <w:sz w:val="28"/>
          <w:szCs w:val="28"/>
        </w:rPr>
      </w:pPr>
    </w:p>
    <w:p w:rsidR="002D15C3" w:rsidRPr="00724130" w:rsidRDefault="002D15C3" w:rsidP="007241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92BD7">
        <w:rPr>
          <w:noProof/>
        </w:rPr>
        <w:drawing>
          <wp:inline distT="0" distB="0" distL="0" distR="0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5.</w:t>
      </w:r>
    </w:p>
    <w:p w:rsidR="002D15C3" w:rsidRPr="00192BD7" w:rsidRDefault="002D15C3" w:rsidP="002D15C3">
      <w:pPr>
        <w:jc w:val="both"/>
        <w:rPr>
          <w:sz w:val="28"/>
          <w:szCs w:val="28"/>
        </w:rPr>
      </w:pPr>
      <w:r w:rsidRPr="00192BD7">
        <w:rPr>
          <w:sz w:val="28"/>
          <w:szCs w:val="28"/>
        </w:rPr>
        <w:t>Укажите неизвестный компонент:</w:t>
      </w:r>
    </w:p>
    <w:p w:rsidR="002D15C3" w:rsidRDefault="002D15C3" w:rsidP="002D15C3">
      <w:pPr>
        <w:jc w:val="both"/>
        <w:rPr>
          <w:b/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E1E">
        <w:rPr>
          <w:sz w:val="28"/>
          <w:szCs w:val="28"/>
        </w:rPr>
        <w:t xml:space="preserve"> </w:t>
      </w:r>
    </w:p>
    <w:p w:rsidR="00724130" w:rsidRPr="00192BD7" w:rsidRDefault="00724130" w:rsidP="002D15C3">
      <w:pPr>
        <w:jc w:val="both"/>
        <w:rPr>
          <w:sz w:val="28"/>
          <w:szCs w:val="28"/>
        </w:rPr>
      </w:pPr>
    </w:p>
    <w:p w:rsidR="00724130" w:rsidRDefault="00724130" w:rsidP="002D15C3">
      <w:pPr>
        <w:rPr>
          <w:b/>
          <w:i/>
          <w:sz w:val="28"/>
          <w:szCs w:val="28"/>
        </w:rPr>
      </w:pPr>
    </w:p>
    <w:p w:rsidR="002D15C3" w:rsidRPr="00724130" w:rsidRDefault="002D15C3" w:rsidP="00724130">
      <w:pPr>
        <w:pStyle w:val="a5"/>
        <w:numPr>
          <w:ilvl w:val="0"/>
          <w:numId w:val="1"/>
        </w:numPr>
        <w:rPr>
          <w:sz w:val="28"/>
          <w:szCs w:val="28"/>
        </w:rPr>
      </w:pPr>
      <w:r w:rsidRPr="00116AC3">
        <w:rPr>
          <w:noProof/>
        </w:rPr>
        <w:drawing>
          <wp:inline distT="0" distB="0" distL="0" distR="0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lastRenderedPageBreak/>
        <w:drawing>
          <wp:inline distT="0" distB="0" distL="0" distR="0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1E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1E" w:rsidRDefault="002D15C3" w:rsidP="002D15C3">
      <w:pPr>
        <w:rPr>
          <w:sz w:val="28"/>
          <w:szCs w:val="28"/>
        </w:rPr>
      </w:pPr>
      <w:r w:rsidRPr="00FA5E1E">
        <w:rPr>
          <w:b/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533400"/>
            <wp:effectExtent l="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6.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15C3" w:rsidRPr="00192BD7" w:rsidRDefault="00BD56D2" w:rsidP="002D15C3">
      <w:pPr>
        <w:rPr>
          <w:sz w:val="28"/>
          <w:szCs w:val="28"/>
        </w:rPr>
      </w:pPr>
      <w:r>
        <w:rPr>
          <w:sz w:val="28"/>
          <w:szCs w:val="28"/>
        </w:rPr>
        <w:t xml:space="preserve">Соответствие линий и точек для </w:t>
      </w:r>
      <w:r w:rsidR="002D15C3" w:rsidRPr="00192BD7">
        <w:rPr>
          <w:sz w:val="28"/>
          <w:szCs w:val="28"/>
        </w:rPr>
        <w:t>6.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прибыли до уплаты налогов</w:t>
      </w:r>
      <w:r w:rsidR="002679FC">
        <w:rPr>
          <w:sz w:val="28"/>
          <w:szCs w:val="28"/>
        </w:rPr>
        <w:t xml:space="preserve"> </w:t>
      </w:r>
      <w:r w:rsidR="002679FC" w:rsidRPr="00724130">
        <w:rPr>
          <w:b/>
          <w:sz w:val="32"/>
          <w:szCs w:val="32"/>
        </w:rPr>
        <w:t>6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переменным расходам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постоянным расходам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прибыли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убытков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точке безубыточности</w:t>
      </w:r>
    </w:p>
    <w:p w:rsidR="002D15C3" w:rsidRPr="003E6CDD" w:rsidRDefault="002D15C3" w:rsidP="002D15C3">
      <w:pPr>
        <w:ind w:left="720" w:hanging="72"/>
        <w:rPr>
          <w:b/>
          <w:sz w:val="28"/>
          <w:szCs w:val="28"/>
        </w:rPr>
      </w:pPr>
      <w:r w:rsidRPr="00192BD7">
        <w:rPr>
          <w:sz w:val="28"/>
          <w:szCs w:val="28"/>
        </w:rPr>
        <w:t>кривой изменения объ</w:t>
      </w:r>
      <w:r w:rsidR="005E5CB5">
        <w:rPr>
          <w:sz w:val="28"/>
          <w:szCs w:val="28"/>
        </w:rPr>
        <w:t>е</w:t>
      </w:r>
      <w:r w:rsidRPr="00192BD7">
        <w:rPr>
          <w:sz w:val="28"/>
          <w:szCs w:val="28"/>
        </w:rPr>
        <w:t>ма продаж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общим расходам</w:t>
      </w: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  <w:bookmarkStart w:id="0" w:name="_GoBack"/>
      <w:bookmarkEnd w:id="0"/>
    </w:p>
    <w:p w:rsidR="002D15C3" w:rsidRPr="00192BD7" w:rsidRDefault="002D15C3" w:rsidP="002D15C3">
      <w:pPr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7.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15C3" w:rsidRPr="00192BD7" w:rsidRDefault="00192BD7" w:rsidP="002D15C3">
      <w:pPr>
        <w:rPr>
          <w:sz w:val="28"/>
          <w:szCs w:val="28"/>
        </w:rPr>
      </w:pPr>
      <w:r>
        <w:rPr>
          <w:sz w:val="28"/>
          <w:szCs w:val="28"/>
        </w:rPr>
        <w:t xml:space="preserve">Соответствие линий и точек для </w:t>
      </w:r>
      <w:r w:rsidR="002D15C3" w:rsidRPr="00192BD7">
        <w:rPr>
          <w:sz w:val="28"/>
          <w:szCs w:val="28"/>
        </w:rPr>
        <w:t>7.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D423E6" w:rsidRDefault="002D15C3" w:rsidP="002D15C3">
      <w:pPr>
        <w:ind w:left="720" w:hanging="72"/>
        <w:rPr>
          <w:b/>
          <w:sz w:val="30"/>
          <w:szCs w:val="30"/>
        </w:rPr>
      </w:pPr>
      <w:r w:rsidRPr="00192BD7">
        <w:rPr>
          <w:sz w:val="28"/>
          <w:szCs w:val="28"/>
        </w:rPr>
        <w:t>кривой изменения объема продаж</w:t>
      </w:r>
      <w:r w:rsidR="00C830A6">
        <w:rPr>
          <w:sz w:val="28"/>
          <w:szCs w:val="28"/>
        </w:rPr>
        <w:t xml:space="preserve"> </w:t>
      </w:r>
      <w:r w:rsidR="00C830A6" w:rsidRPr="00724130">
        <w:rPr>
          <w:b/>
          <w:sz w:val="32"/>
          <w:szCs w:val="32"/>
        </w:rPr>
        <w:t>7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прибыли до уплаты налогов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переменным расходам</w:t>
      </w:r>
      <w:r w:rsidR="00210EFC">
        <w:rPr>
          <w:sz w:val="28"/>
          <w:szCs w:val="28"/>
        </w:rPr>
        <w:t xml:space="preserve"> 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постоянным расходам</w:t>
      </w:r>
      <w:r w:rsidR="00D423E6">
        <w:rPr>
          <w:sz w:val="28"/>
          <w:szCs w:val="28"/>
        </w:rPr>
        <w:t xml:space="preserve"> 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прибыли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убытков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точке безубыточности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общим расходам</w:t>
      </w:r>
    </w:p>
    <w:p w:rsidR="002D15C3" w:rsidRPr="00192BD7" w:rsidRDefault="002D15C3" w:rsidP="002D15C3">
      <w:pPr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8.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Абсолютным критерием статического метода оценки экономической эф</w:t>
      </w:r>
      <w:r w:rsidR="00406097">
        <w:rPr>
          <w:sz w:val="28"/>
          <w:szCs w:val="28"/>
        </w:rPr>
        <w:t>фективности инвестиций является</w:t>
      </w:r>
      <w:r w:rsidRPr="00192BD7">
        <w:rPr>
          <w:sz w:val="28"/>
          <w:szCs w:val="28"/>
        </w:rPr>
        <w:t>: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интегральный экономический</w:t>
      </w:r>
      <w:r w:rsidR="00406097"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t>эффект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индекс доходности</w:t>
      </w:r>
    </w:p>
    <w:p w:rsidR="002D15C3" w:rsidRPr="00724130" w:rsidRDefault="002D15C3" w:rsidP="002D15C3">
      <w:pPr>
        <w:ind w:left="720" w:hanging="72"/>
        <w:rPr>
          <w:b/>
          <w:sz w:val="30"/>
          <w:szCs w:val="30"/>
        </w:rPr>
      </w:pPr>
      <w:r w:rsidRPr="00724130">
        <w:rPr>
          <w:b/>
          <w:sz w:val="30"/>
          <w:szCs w:val="30"/>
        </w:rPr>
        <w:t>среднегодовой доход</w:t>
      </w:r>
    </w:p>
    <w:p w:rsidR="0011585D" w:rsidRPr="00724130" w:rsidRDefault="0011585D">
      <w:pPr>
        <w:rPr>
          <w:sz w:val="28"/>
          <w:szCs w:val="28"/>
        </w:rPr>
      </w:pPr>
    </w:p>
    <w:sectPr w:rsidR="0011585D" w:rsidRPr="00724130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499"/>
    <w:multiLevelType w:val="hybridMultilevel"/>
    <w:tmpl w:val="628645D4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3"/>
    <w:rsid w:val="0001707F"/>
    <w:rsid w:val="000464C0"/>
    <w:rsid w:val="00062E12"/>
    <w:rsid w:val="000914F7"/>
    <w:rsid w:val="00093EC3"/>
    <w:rsid w:val="0011585D"/>
    <w:rsid w:val="00116AC3"/>
    <w:rsid w:val="00161F74"/>
    <w:rsid w:val="00192BD7"/>
    <w:rsid w:val="001A7341"/>
    <w:rsid w:val="00210EFC"/>
    <w:rsid w:val="002679FC"/>
    <w:rsid w:val="002D15C3"/>
    <w:rsid w:val="00376E69"/>
    <w:rsid w:val="003E6CDD"/>
    <w:rsid w:val="00406097"/>
    <w:rsid w:val="004D0D63"/>
    <w:rsid w:val="004D4A6A"/>
    <w:rsid w:val="00566E90"/>
    <w:rsid w:val="005E5CB5"/>
    <w:rsid w:val="005F77AF"/>
    <w:rsid w:val="00600D27"/>
    <w:rsid w:val="00724130"/>
    <w:rsid w:val="007C044E"/>
    <w:rsid w:val="007E28C5"/>
    <w:rsid w:val="00884DA4"/>
    <w:rsid w:val="00907F78"/>
    <w:rsid w:val="00B11BDC"/>
    <w:rsid w:val="00B80DC6"/>
    <w:rsid w:val="00BC4325"/>
    <w:rsid w:val="00BD56D2"/>
    <w:rsid w:val="00BE2A74"/>
    <w:rsid w:val="00C830A6"/>
    <w:rsid w:val="00CC7C52"/>
    <w:rsid w:val="00D423E6"/>
    <w:rsid w:val="00D73217"/>
    <w:rsid w:val="00E47A8D"/>
    <w:rsid w:val="00EF6354"/>
    <w:rsid w:val="00F37580"/>
    <w:rsid w:val="00F47C19"/>
    <w:rsid w:val="00F839B2"/>
    <w:rsid w:val="00FA214E"/>
    <w:rsid w:val="00FA5E1E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295F"/>
  <w15:docId w15:val="{C0BC8CA8-8BD2-41B8-9DFC-A85DAB58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2020-11-24T16:06:00Z</dcterms:created>
  <dcterms:modified xsi:type="dcterms:W3CDTF">2020-11-24T16:06:00Z</dcterms:modified>
</cp:coreProperties>
</file>