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ind w:left="709" w:hanging="1"/>
        <w:jc w:val="right"/>
        <w:rPr>
          <w:rFonts w:ascii="Times New Roman" w:hAnsi="Times New Roman"/>
          <w:b w:val="1"/>
          <w:bCs w:val="1"/>
          <w:sz w:val="28"/>
          <w:szCs w:val="28"/>
        </w:rPr>
      </w:pPr>
    </w:p>
    <w:tbl>
      <w:tblPr>
        <w:tblW w:w="1630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5"/>
        <w:gridCol w:w="1275"/>
        <w:gridCol w:w="1418"/>
        <w:gridCol w:w="1134"/>
        <w:gridCol w:w="1276"/>
        <w:gridCol w:w="1134"/>
        <w:gridCol w:w="992"/>
        <w:gridCol w:w="992"/>
        <w:gridCol w:w="1134"/>
        <w:gridCol w:w="1134"/>
        <w:gridCol w:w="992"/>
        <w:gridCol w:w="127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Временной интервал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Инвестиционные затраты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1560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Выручка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4000*0,55= 2200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Переменные издержки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4000*0,4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= 1600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1600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Постоянные затраты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120,8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Амортизация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(1120-205)*0,07=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64,05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Прибыль до налогообложения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2200-1600-120,8-64,05= 415,15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Налог на прибыль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415,15*20% =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83,03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Чистая прибыль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415,15-83,03 =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Чистый текущий доход от проекта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332,12+205=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537,12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Коэффициент дисконтирования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0,910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0,827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0,752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0,684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0,621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0,565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0,514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0,467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0,425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0,386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Дисконтированный чистый текущий доход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-1560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302,29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274,6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249,75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227,17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206,25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187,65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170,71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155,1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141,15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207,3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Кумулятивный дисконтированный денежный поток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-1560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-1257,71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-983,11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-733,36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-506,19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-299,94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-112,29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58,42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213,52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354,67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561,97</w:t>
            </w:r>
          </w:p>
        </w:tc>
      </w:tr>
    </w:tbl>
    <w:p>
      <w:pPr>
        <w:pStyle w:val="Normal.0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Точка безубыточности составляет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Тбд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=2200*120,8/(2200-1600)=442,93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рублей</w:t>
      </w: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Тбн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=120,8/(0,55-0,4)=805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штук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8"/>
        <w:jc w:val="both"/>
      </w:pPr>
      <w:r>
        <w:drawing xmlns:a="http://schemas.openxmlformats.org/drawingml/2006/main">
          <wp:inline distT="0" distB="0" distL="0" distR="0">
            <wp:extent cx="8528262" cy="425241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"/>
              </a:graphicData>
            </a:graphic>
          </wp:inline>
        </w:drawing>
      </w: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inline distT="0" distB="0" distL="0" distR="0">
                <wp:extent cx="7735758" cy="2459648"/>
                <wp:effectExtent l="0" t="0" r="0" b="0"/>
                <wp:docPr id="1073741826" name="officeArt object" descr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35758" cy="2459648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609.1pt;height:193.7pt;flip:y;">
                <v:fill on="f"/>
                <v:stroke filltype="solid" color="#FFC000" opacity="100.0%" weight="2.2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inline distT="0" distB="0" distL="0" distR="0">
                <wp:extent cx="133287" cy="114284"/>
                <wp:effectExtent l="0" t="0" r="0" b="0"/>
                <wp:docPr id="1073741827" name="officeArt object" descr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7" cy="114284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>
                          <a:solidFill>
                            <a:srgbClr val="1F497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oval id="_x0000_s1027" style="visibility:visible;width:10.5pt;height:9.0pt;">
                <v:fill color="#1F497D" opacity="100.0%" type="solid"/>
                <v:stroke filltype="solid" color="#1F497D" opacity="100.0%" weight="2.0pt" dashstyle="solid" endcap="flat" joinstyle="round" linestyle="single" startarrow="none" startarrowwidth="medium" startarrowlength="medium" endarrow="none" endarrowwidth="medium" endarrowlength="medium"/>
              </v:oval>
            </w:pict>
          </mc:Fallback>
        </mc:AlternateContent>
      </w: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inline distT="0" distB="0" distL="0" distR="0">
                <wp:extent cx="79978" cy="200009"/>
                <wp:effectExtent l="0" t="0" r="0" b="0"/>
                <wp:docPr id="1073741828" name="officeArt object" descr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78" cy="2000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visibility:visible;width:6.3pt;height:15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5"/>
      <w:footerReference w:type="default" r:id="rId6"/>
      <w:pgSz w:w="16840" w:h="11900" w:orient="landscape"/>
      <w:pgMar w:top="1701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chart" Target="charts/chart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0510388"/>
          <c:y val="0.0322336"/>
          <c:w val="0.943961"/>
          <c:h val="0.90511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 1</c:v>
                </c:pt>
              </c:strCache>
            </c:strRef>
          </c:tx>
          <c:spPr>
            <a:noFill/>
            <a:ln w="28575" cap="flat">
              <a:solidFill>
                <a:srgbClr val="4A7EBB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solidFill>
                <a:srgbClr val="000000">
                  <a:alpha val="0"/>
                </a:srgbClr>
              </a:solidFill>
              <a:ln w="28575" cap="flat">
                <a:solidFill>
                  <a:srgbClr val="4A7EBB"/>
                </a:solidFill>
                <a:prstDash val="solid"/>
                <a:round/>
              </a:ln>
              <a:effectLst/>
            </c:spPr>
          </c:marker>
          <c:dLbls>
            <c:numFmt formatCode="0.#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strCache>
            </c:strRef>
          </c:cat>
          <c:val>
            <c:numRef>
              <c:f>Sheet1!$B$2:$B$22</c:f>
              <c:numCache>
                <c:ptCount val="21"/>
                <c:pt idx="0">
                  <c:v>120.800000</c:v>
                </c:pt>
                <c:pt idx="1">
                  <c:v>120.800000</c:v>
                </c:pt>
                <c:pt idx="2">
                  <c:v>120.800000</c:v>
                </c:pt>
                <c:pt idx="3">
                  <c:v>120.800000</c:v>
                </c:pt>
                <c:pt idx="4">
                  <c:v>120.800000</c:v>
                </c:pt>
                <c:pt idx="5">
                  <c:v>120.800000</c:v>
                </c:pt>
                <c:pt idx="6">
                  <c:v>120.800000</c:v>
                </c:pt>
                <c:pt idx="7">
                  <c:v>120.800000</c:v>
                </c:pt>
                <c:pt idx="8">
                  <c:v>120.800000</c:v>
                </c:pt>
                <c:pt idx="9">
                  <c:v>120.800000</c:v>
                </c:pt>
                <c:pt idx="10">
                  <c:v>120.800000</c:v>
                </c:pt>
                <c:pt idx="11">
                  <c:v>120.800000</c:v>
                </c:pt>
                <c:pt idx="12">
                  <c:v>120.800000</c:v>
                </c:pt>
                <c:pt idx="13">
                  <c:v>120.800000</c:v>
                </c:pt>
                <c:pt idx="14">
                  <c:v>120.800000</c:v>
                </c:pt>
                <c:pt idx="15">
                  <c:v>120.800000</c:v>
                </c:pt>
                <c:pt idx="16">
                  <c:v>120.800000</c:v>
                </c:pt>
                <c:pt idx="17">
                  <c:v>120.800000</c:v>
                </c:pt>
                <c:pt idx="18">
                  <c:v>120.800000</c:v>
                </c:pt>
                <c:pt idx="19">
                  <c:v>120.800000</c:v>
                </c:pt>
                <c:pt idx="20">
                  <c:v>120.800000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 2</c:v>
                </c:pt>
              </c:strCache>
            </c:strRef>
          </c:tx>
          <c:spPr>
            <a:noFill/>
            <a:ln w="28575" cap="flat">
              <a:solidFill>
                <a:srgbClr val="BE4B48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solidFill>
                <a:srgbClr val="000000">
                  <a:alpha val="0"/>
                </a:srgbClr>
              </a:solidFill>
              <a:ln w="28575" cap="flat">
                <a:solidFill>
                  <a:srgbClr val="BE4B48"/>
                </a:solidFill>
                <a:prstDash val="solid"/>
                <a:round/>
              </a:ln>
              <a:effectLst/>
            </c:spPr>
          </c:marker>
          <c:dLbls>
            <c:numFmt formatCode="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strCache>
            </c:strRef>
          </c:cat>
          <c:val>
            <c:numRef>
              <c:f>Sheet1!$C$2:$C$22</c:f>
              <c:numCache>
                <c:ptCount val="21"/>
                <c:pt idx="0">
                  <c:v>2200.000000</c:v>
                </c:pt>
                <c:pt idx="1">
                  <c:v>2200.000000</c:v>
                </c:pt>
                <c:pt idx="2">
                  <c:v>2200.000000</c:v>
                </c:pt>
                <c:pt idx="3">
                  <c:v>2200.000000</c:v>
                </c:pt>
                <c:pt idx="4">
                  <c:v>2200.000000</c:v>
                </c:pt>
                <c:pt idx="5">
                  <c:v>2200.000000</c:v>
                </c:pt>
                <c:pt idx="6">
                  <c:v>2200.000000</c:v>
                </c:pt>
                <c:pt idx="7">
                  <c:v>2200.000000</c:v>
                </c:pt>
                <c:pt idx="8">
                  <c:v>2200.000000</c:v>
                </c:pt>
                <c:pt idx="9">
                  <c:v>2200.000000</c:v>
                </c:pt>
                <c:pt idx="10">
                  <c:v>2200.000000</c:v>
                </c:pt>
                <c:pt idx="11">
                  <c:v>2200.000000</c:v>
                </c:pt>
                <c:pt idx="12">
                  <c:v>2200.000000</c:v>
                </c:pt>
                <c:pt idx="13">
                  <c:v>2200.000000</c:v>
                </c:pt>
                <c:pt idx="14">
                  <c:v>2200.000000</c:v>
                </c:pt>
                <c:pt idx="15">
                  <c:v>2200.000000</c:v>
                </c:pt>
                <c:pt idx="16">
                  <c:v>2200.000000</c:v>
                </c:pt>
                <c:pt idx="17">
                  <c:v>2200.000000</c:v>
                </c:pt>
                <c:pt idx="18">
                  <c:v>2200.000000</c:v>
                </c:pt>
                <c:pt idx="19">
                  <c:v>2200.000000</c:v>
                </c:pt>
                <c:pt idx="20">
                  <c:v>2200.000000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Ряд 3</c:v>
                </c:pt>
              </c:strCache>
            </c:strRef>
          </c:tx>
          <c:spPr>
            <a:noFill/>
            <a:ln w="28575" cap="flat">
              <a:solidFill>
                <a:srgbClr val="98B955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solidFill>
                <a:srgbClr val="000000">
                  <a:alpha val="0"/>
                </a:srgbClr>
              </a:solidFill>
              <a:ln w="28575" cap="flat">
                <a:solidFill>
                  <a:srgbClr val="98B955"/>
                </a:solidFill>
                <a:prstDash val="solid"/>
                <a:round/>
              </a:ln>
              <a:effectLst/>
            </c:spPr>
          </c:marker>
          <c:dLbls>
            <c:numFmt formatCode="0.##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strCache>
            </c:strRef>
          </c:cat>
          <c:val>
            <c:numRef>
              <c:f>Sheet1!$D$2:$D$22</c:f>
              <c:numCache>
                <c:ptCount val="21"/>
                <c:pt idx="0">
                  <c:v>0.000000</c:v>
                </c:pt>
                <c:pt idx="1">
                  <c:v>110.000000</c:v>
                </c:pt>
                <c:pt idx="2">
                  <c:v>220.000000</c:v>
                </c:pt>
                <c:pt idx="3">
                  <c:v>330.000000</c:v>
                </c:pt>
                <c:pt idx="4">
                  <c:v>440.000000</c:v>
                </c:pt>
                <c:pt idx="5">
                  <c:v>550.000000</c:v>
                </c:pt>
                <c:pt idx="6">
                  <c:v>660.000000</c:v>
                </c:pt>
                <c:pt idx="7">
                  <c:v>770.000000</c:v>
                </c:pt>
                <c:pt idx="8">
                  <c:v>880.000000</c:v>
                </c:pt>
                <c:pt idx="9">
                  <c:v>990.000000</c:v>
                </c:pt>
                <c:pt idx="10">
                  <c:v>1100.000000</c:v>
                </c:pt>
                <c:pt idx="11">
                  <c:v>1210.000000</c:v>
                </c:pt>
                <c:pt idx="12">
                  <c:v>1320.000000</c:v>
                </c:pt>
                <c:pt idx="13">
                  <c:v>1430.000000</c:v>
                </c:pt>
                <c:pt idx="14">
                  <c:v>1540.000000</c:v>
                </c:pt>
                <c:pt idx="15">
                  <c:v>1650.000000</c:v>
                </c:pt>
                <c:pt idx="16">
                  <c:v>1760.000000</c:v>
                </c:pt>
                <c:pt idx="17">
                  <c:v>1870.000000</c:v>
                </c:pt>
                <c:pt idx="18">
                  <c:v>1980.000000</c:v>
                </c:pt>
                <c:pt idx="19">
                  <c:v>2090.000000</c:v>
                </c:pt>
                <c:pt idx="20">
                  <c:v>2200.000000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Ряд </c:v>
                </c:pt>
              </c:strCache>
            </c:strRef>
          </c:tx>
          <c:spPr>
            <a:noFill/>
            <a:ln w="28575" cap="flat">
              <a:solidFill>
                <a:srgbClr val="7D60A0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solidFill>
                <a:srgbClr val="000000">
                  <a:alpha val="0"/>
                </a:srgbClr>
              </a:solidFill>
              <a:ln w="28575" cap="flat">
                <a:solidFill>
                  <a:srgbClr val="7D60A0"/>
                </a:solidFill>
                <a:prstDash val="solid"/>
                <a:round/>
              </a:ln>
              <a:effectLst/>
            </c:spPr>
          </c:marker>
          <c:dLbls>
            <c:numFmt formatCode="0.#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strCache>
            </c:strRef>
          </c:cat>
          <c:val>
            <c:numRef>
              <c:f>Sheet1!$E$2:$E$22</c:f>
              <c:numCache>
                <c:ptCount val="21"/>
                <c:pt idx="0">
                  <c:v>1720.800000</c:v>
                </c:pt>
                <c:pt idx="1">
                  <c:v>1720.800000</c:v>
                </c:pt>
                <c:pt idx="2">
                  <c:v>1720.800000</c:v>
                </c:pt>
                <c:pt idx="3">
                  <c:v>1720.800000</c:v>
                </c:pt>
                <c:pt idx="4">
                  <c:v>1720.800000</c:v>
                </c:pt>
                <c:pt idx="5">
                  <c:v>1720.800000</c:v>
                </c:pt>
                <c:pt idx="6">
                  <c:v>1720.800000</c:v>
                </c:pt>
                <c:pt idx="7">
                  <c:v>1720.800000</c:v>
                </c:pt>
                <c:pt idx="8">
                  <c:v>1720.800000</c:v>
                </c:pt>
                <c:pt idx="9">
                  <c:v>1720.800000</c:v>
                </c:pt>
                <c:pt idx="10">
                  <c:v>1720.800000</c:v>
                </c:pt>
                <c:pt idx="11">
                  <c:v>1720.800000</c:v>
                </c:pt>
                <c:pt idx="12">
                  <c:v>1720.800000</c:v>
                </c:pt>
                <c:pt idx="13">
                  <c:v>1720.800000</c:v>
                </c:pt>
                <c:pt idx="14">
                  <c:v>1720.800000</c:v>
                </c:pt>
                <c:pt idx="15">
                  <c:v>1720.800000</c:v>
                </c:pt>
                <c:pt idx="16">
                  <c:v>1720.800000</c:v>
                </c:pt>
                <c:pt idx="17">
                  <c:v>1720.800000</c:v>
                </c:pt>
                <c:pt idx="18">
                  <c:v>1720.800000</c:v>
                </c:pt>
                <c:pt idx="19">
                  <c:v>1720.800000</c:v>
                </c:pt>
                <c:pt idx="20">
                  <c:v>1720.800000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1000" u="none">
                <a:solidFill>
                  <a:srgbClr val="000000"/>
                </a:solidFill>
                <a:latin typeface="Calibri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888888"/>
              </a:solidFill>
              <a:prstDash val="solid"/>
              <a:round/>
            </a:ln>
          </c:spPr>
        </c:majorGridlines>
        <c:numFmt formatCode="0.##" sourceLinked="0"/>
        <c:majorTickMark val="out"/>
        <c:minorTickMark val="none"/>
        <c:tickLblPos val="nextTo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1000" u="none">
                <a:solidFill>
                  <a:srgbClr val="000000"/>
                </a:solidFill>
                <a:latin typeface="Calibri"/>
              </a:defRPr>
            </a:pPr>
          </a:p>
        </c:txPr>
        <c:crossAx val="2094734552"/>
        <c:crosses val="autoZero"/>
        <c:crossBetween val="between"/>
        <c:majorUnit val="750"/>
        <c:minorUnit val="375"/>
      </c:valAx>
      <c:spPr>
        <a:solidFill>
          <a:srgbClr val="FFFFFF"/>
        </a:solidFill>
        <a:ln w="12700" cap="flat">
          <a:noFill/>
          <a:miter lim="400000"/>
        </a:ln>
        <a:effectLst/>
      </c:spPr>
    </c:plotArea>
    <c:plotVisOnly val="1"/>
    <c:dispBlanksAs val="gap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