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C3" w:rsidRPr="00111A00" w:rsidRDefault="002D15C3" w:rsidP="00111A00">
      <w:pPr>
        <w:keepNext/>
        <w:rPr>
          <w:b/>
          <w:sz w:val="28"/>
          <w:szCs w:val="28"/>
        </w:rPr>
      </w:pPr>
      <w:r w:rsidRPr="00111A00">
        <w:rPr>
          <w:b/>
          <w:sz w:val="28"/>
          <w:szCs w:val="28"/>
        </w:rPr>
        <w:t>Вариант 1</w:t>
      </w:r>
    </w:p>
    <w:p w:rsidR="002D15C3" w:rsidRPr="00111A00" w:rsidRDefault="002D15C3" w:rsidP="002D15C3">
      <w:pPr>
        <w:spacing w:before="80" w:after="40"/>
        <w:rPr>
          <w:b/>
          <w:i/>
          <w:sz w:val="28"/>
          <w:szCs w:val="28"/>
        </w:rPr>
      </w:pPr>
      <w:r w:rsidRPr="00111A00">
        <w:rPr>
          <w:b/>
          <w:i/>
          <w:sz w:val="28"/>
          <w:szCs w:val="28"/>
        </w:rPr>
        <w:t>1.</w:t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>Отметьте правильный ответ</w:t>
      </w:r>
    </w:p>
    <w:p w:rsidR="002D15C3" w:rsidRPr="00111A00" w:rsidRDefault="0001707F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 xml:space="preserve">По способу учета фактора времени </w:t>
      </w:r>
      <w:r w:rsidR="002D15C3" w:rsidRPr="00111A00">
        <w:rPr>
          <w:sz w:val="28"/>
          <w:szCs w:val="28"/>
        </w:rPr>
        <w:t>методы экономиче</w:t>
      </w:r>
      <w:r w:rsidRPr="00111A00">
        <w:rPr>
          <w:sz w:val="28"/>
          <w:szCs w:val="28"/>
        </w:rPr>
        <w:t xml:space="preserve">ской оценки инвестиций делятся </w:t>
      </w:r>
      <w:r w:rsidR="002D15C3" w:rsidRPr="00111A00">
        <w:rPr>
          <w:sz w:val="28"/>
          <w:szCs w:val="28"/>
        </w:rPr>
        <w:t>на:</w:t>
      </w:r>
    </w:p>
    <w:p w:rsidR="002D15C3" w:rsidRPr="00111A00" w:rsidRDefault="002D15C3" w:rsidP="00F839B2">
      <w:pPr>
        <w:ind w:left="216" w:hanging="72"/>
        <w:rPr>
          <w:b/>
          <w:color w:val="FF0000"/>
          <w:sz w:val="28"/>
          <w:szCs w:val="28"/>
        </w:rPr>
      </w:pPr>
      <w:r w:rsidRPr="00111A00">
        <w:rPr>
          <w:b/>
          <w:color w:val="FF0000"/>
          <w:sz w:val="28"/>
          <w:szCs w:val="28"/>
        </w:rPr>
        <w:t>статические (простые) и динамические</w:t>
      </w:r>
      <w:r w:rsidR="00600D27" w:rsidRPr="00111A00">
        <w:rPr>
          <w:b/>
          <w:color w:val="FF0000"/>
          <w:sz w:val="28"/>
          <w:szCs w:val="28"/>
        </w:rPr>
        <w:t>;</w:t>
      </w:r>
    </w:p>
    <w:p w:rsidR="002D15C3" w:rsidRPr="00111A00" w:rsidRDefault="002D15C3" w:rsidP="00F839B2">
      <w:pPr>
        <w:ind w:left="216" w:hanging="72"/>
        <w:rPr>
          <w:sz w:val="28"/>
          <w:szCs w:val="28"/>
        </w:rPr>
      </w:pPr>
      <w:r w:rsidRPr="00111A00">
        <w:rPr>
          <w:sz w:val="28"/>
          <w:szCs w:val="28"/>
        </w:rPr>
        <w:t>количественные и качественные</w:t>
      </w:r>
      <w:r w:rsidR="00600D27" w:rsidRPr="00111A00">
        <w:rPr>
          <w:sz w:val="28"/>
          <w:szCs w:val="28"/>
        </w:rPr>
        <w:t>;</w:t>
      </w:r>
    </w:p>
    <w:p w:rsidR="002D15C3" w:rsidRPr="00111A00" w:rsidRDefault="002D15C3" w:rsidP="00F839B2">
      <w:pPr>
        <w:ind w:left="216" w:hanging="72"/>
        <w:rPr>
          <w:sz w:val="28"/>
          <w:szCs w:val="28"/>
        </w:rPr>
      </w:pPr>
      <w:r w:rsidRPr="00111A00">
        <w:rPr>
          <w:sz w:val="28"/>
          <w:szCs w:val="28"/>
        </w:rPr>
        <w:t>простые и сложные</w:t>
      </w:r>
      <w:r w:rsidR="00600D27" w:rsidRPr="00111A00">
        <w:rPr>
          <w:sz w:val="28"/>
          <w:szCs w:val="28"/>
        </w:rPr>
        <w:t>;</w:t>
      </w:r>
    </w:p>
    <w:p w:rsidR="002D15C3" w:rsidRPr="00111A00" w:rsidRDefault="002D15C3" w:rsidP="00F839B2">
      <w:pPr>
        <w:ind w:left="216" w:hanging="72"/>
        <w:rPr>
          <w:sz w:val="28"/>
          <w:szCs w:val="28"/>
        </w:rPr>
      </w:pPr>
      <w:r w:rsidRPr="00111A00">
        <w:rPr>
          <w:sz w:val="28"/>
          <w:szCs w:val="28"/>
        </w:rPr>
        <w:t>абсолютные и относительные</w:t>
      </w:r>
      <w:r w:rsidR="00600D27" w:rsidRPr="00111A00">
        <w:rPr>
          <w:sz w:val="28"/>
          <w:szCs w:val="28"/>
        </w:rPr>
        <w:t>.</w:t>
      </w:r>
    </w:p>
    <w:p w:rsidR="002D15C3" w:rsidRPr="00111A00" w:rsidRDefault="002D15C3" w:rsidP="002D15C3">
      <w:pPr>
        <w:spacing w:before="80" w:after="40"/>
        <w:rPr>
          <w:b/>
          <w:i/>
          <w:sz w:val="28"/>
          <w:szCs w:val="28"/>
        </w:rPr>
      </w:pPr>
      <w:r w:rsidRPr="00111A00">
        <w:rPr>
          <w:b/>
          <w:i/>
          <w:sz w:val="28"/>
          <w:szCs w:val="28"/>
        </w:rPr>
        <w:t>2.</w:t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>Дополните</w:t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>Дисконтированием называется процедура приведения разновр</w:t>
      </w:r>
      <w:r w:rsidR="00566E90" w:rsidRPr="00111A00">
        <w:rPr>
          <w:sz w:val="28"/>
          <w:szCs w:val="28"/>
        </w:rPr>
        <w:t xml:space="preserve">еменных затрат и результатов на </w:t>
      </w:r>
      <w:r w:rsidR="00566E90" w:rsidRPr="00111A00">
        <w:rPr>
          <w:b/>
          <w:color w:val="FF0000"/>
          <w:sz w:val="28"/>
          <w:szCs w:val="28"/>
        </w:rPr>
        <w:t>начало</w:t>
      </w:r>
      <w:r w:rsidR="00566E90" w:rsidRPr="00111A00">
        <w:rPr>
          <w:sz w:val="28"/>
          <w:szCs w:val="28"/>
        </w:rPr>
        <w:t xml:space="preserve"> </w:t>
      </w:r>
      <w:r w:rsidRPr="00111A00">
        <w:rPr>
          <w:sz w:val="28"/>
          <w:szCs w:val="28"/>
        </w:rPr>
        <w:t>расчетного периода.</w:t>
      </w:r>
    </w:p>
    <w:p w:rsidR="002D15C3" w:rsidRPr="00111A00" w:rsidRDefault="002D15C3" w:rsidP="002D15C3">
      <w:pPr>
        <w:spacing w:before="80" w:after="40"/>
        <w:rPr>
          <w:b/>
          <w:i/>
          <w:sz w:val="28"/>
          <w:szCs w:val="28"/>
        </w:rPr>
      </w:pPr>
      <w:r w:rsidRPr="00111A00">
        <w:rPr>
          <w:b/>
          <w:i/>
          <w:sz w:val="28"/>
          <w:szCs w:val="28"/>
        </w:rPr>
        <w:t>3.</w:t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>Дополните</w:t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>Норма дисконта, используемая для оценки эффективности участия предприятия в проекте и устанавливаемая инвестором самостоятель</w:t>
      </w:r>
      <w:r w:rsidR="00F37580" w:rsidRPr="00111A00">
        <w:rPr>
          <w:sz w:val="28"/>
          <w:szCs w:val="28"/>
        </w:rPr>
        <w:t xml:space="preserve">но, называется безрисковой </w:t>
      </w:r>
      <w:r w:rsidR="00F37580" w:rsidRPr="00111A00">
        <w:rPr>
          <w:b/>
          <w:color w:val="FF0000"/>
          <w:sz w:val="28"/>
          <w:szCs w:val="28"/>
          <w:shd w:val="clear" w:color="auto" w:fill="FFFFFF"/>
        </w:rPr>
        <w:t>коммерческой</w:t>
      </w:r>
      <w:r w:rsidR="00F37580" w:rsidRPr="00111A00">
        <w:rPr>
          <w:color w:val="FF0000"/>
          <w:sz w:val="28"/>
          <w:szCs w:val="28"/>
        </w:rPr>
        <w:t xml:space="preserve"> </w:t>
      </w:r>
      <w:r w:rsidRPr="00111A00">
        <w:rPr>
          <w:sz w:val="28"/>
          <w:szCs w:val="28"/>
        </w:rPr>
        <w:t>нормой.</w:t>
      </w:r>
    </w:p>
    <w:p w:rsidR="002D15C3" w:rsidRPr="00111A00" w:rsidRDefault="002D15C3" w:rsidP="002D15C3">
      <w:pPr>
        <w:spacing w:before="80" w:after="40"/>
        <w:rPr>
          <w:b/>
          <w:i/>
          <w:sz w:val="28"/>
          <w:szCs w:val="28"/>
        </w:rPr>
      </w:pPr>
      <w:r w:rsidRPr="00111A00">
        <w:rPr>
          <w:b/>
          <w:i/>
          <w:sz w:val="28"/>
          <w:szCs w:val="28"/>
        </w:rPr>
        <w:t>4.</w:t>
      </w:r>
    </w:p>
    <w:p w:rsidR="002D15C3" w:rsidRPr="00111A00" w:rsidRDefault="002D15C3" w:rsidP="002D15C3">
      <w:pPr>
        <w:ind w:firstLine="709"/>
        <w:jc w:val="both"/>
        <w:rPr>
          <w:sz w:val="28"/>
          <w:szCs w:val="28"/>
        </w:rPr>
      </w:pPr>
      <w:r w:rsidRPr="00111A00">
        <w:rPr>
          <w:sz w:val="28"/>
          <w:szCs w:val="28"/>
        </w:rPr>
        <w:t>Название формулы:</w:t>
      </w:r>
    </w:p>
    <w:p w:rsidR="00111A00" w:rsidRDefault="002D15C3" w:rsidP="002D15C3">
      <w:pPr>
        <w:ind w:firstLine="709"/>
        <w:jc w:val="both"/>
        <w:rPr>
          <w:sz w:val="28"/>
          <w:szCs w:val="28"/>
        </w:rPr>
      </w:pPr>
      <w:r w:rsidRPr="00111A00">
        <w:rPr>
          <w:noProof/>
          <w:sz w:val="28"/>
          <w:szCs w:val="28"/>
        </w:rPr>
        <w:drawing>
          <wp:inline distT="0" distB="0" distL="0" distR="0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E1E" w:rsidRPr="00111A00">
        <w:rPr>
          <w:sz w:val="28"/>
          <w:szCs w:val="28"/>
        </w:rPr>
        <w:t xml:space="preserve"> </w:t>
      </w:r>
    </w:p>
    <w:p w:rsidR="002D15C3" w:rsidRPr="00111A00" w:rsidRDefault="00FA5E1E" w:rsidP="002D15C3">
      <w:pPr>
        <w:ind w:firstLine="709"/>
        <w:jc w:val="both"/>
        <w:rPr>
          <w:sz w:val="28"/>
          <w:szCs w:val="28"/>
        </w:rPr>
      </w:pPr>
      <w:r w:rsidRPr="00111A00">
        <w:rPr>
          <w:b/>
          <w:color w:val="FF0000"/>
          <w:sz w:val="28"/>
          <w:szCs w:val="28"/>
        </w:rPr>
        <w:t>Ответ:</w:t>
      </w:r>
      <w:r w:rsidR="000914F7" w:rsidRPr="00111A00">
        <w:rPr>
          <w:b/>
          <w:sz w:val="28"/>
          <w:szCs w:val="28"/>
        </w:rPr>
        <w:t xml:space="preserve"> </w:t>
      </w:r>
      <w:r w:rsidR="000914F7" w:rsidRPr="00111A00">
        <w:rPr>
          <w:sz w:val="28"/>
          <w:szCs w:val="28"/>
        </w:rPr>
        <w:t>внутренняя норма доходности (</w:t>
      </w:r>
      <w:proofErr w:type="spellStart"/>
      <w:r w:rsidR="000914F7" w:rsidRPr="00111A00">
        <w:rPr>
          <w:sz w:val="28"/>
          <w:szCs w:val="28"/>
        </w:rPr>
        <w:t>Евн</w:t>
      </w:r>
      <w:proofErr w:type="spellEnd"/>
      <w:r w:rsidR="000914F7" w:rsidRPr="00111A00">
        <w:rPr>
          <w:sz w:val="28"/>
          <w:szCs w:val="28"/>
        </w:rPr>
        <w:t>)</w:t>
      </w:r>
      <w:r w:rsidR="004D0D63" w:rsidRPr="00111A00">
        <w:rPr>
          <w:sz w:val="28"/>
          <w:szCs w:val="28"/>
        </w:rPr>
        <w:t>.</w:t>
      </w:r>
    </w:p>
    <w:p w:rsidR="002D15C3" w:rsidRPr="00111A00" w:rsidRDefault="002D15C3" w:rsidP="002D15C3">
      <w:pPr>
        <w:jc w:val="both"/>
        <w:rPr>
          <w:sz w:val="28"/>
          <w:szCs w:val="28"/>
        </w:rPr>
      </w:pPr>
      <w:r w:rsidRPr="00111A00">
        <w:rPr>
          <w:b/>
          <w:i/>
          <w:sz w:val="28"/>
          <w:szCs w:val="28"/>
        </w:rPr>
        <w:sym w:font="Times New Roman" w:char="F0A3"/>
      </w:r>
      <w:r w:rsidRPr="00111A00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sym w:font="Times New Roman" w:char="F0A3"/>
      </w:r>
      <w:r w:rsidRPr="00111A00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sym w:font="Times New Roman" w:char="F0A3"/>
      </w:r>
      <w:r w:rsidRPr="00111A00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sym w:font="Times New Roman" w:char="F0A3"/>
      </w:r>
      <w:r w:rsidRPr="00111A00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11A00" w:rsidRDefault="002D15C3" w:rsidP="002D15C3">
      <w:pPr>
        <w:spacing w:before="80" w:after="40"/>
        <w:rPr>
          <w:b/>
          <w:i/>
          <w:sz w:val="28"/>
          <w:szCs w:val="28"/>
        </w:rPr>
      </w:pPr>
      <w:r w:rsidRPr="00111A00">
        <w:rPr>
          <w:b/>
          <w:i/>
          <w:sz w:val="28"/>
          <w:szCs w:val="28"/>
        </w:rPr>
        <w:t>5.</w:t>
      </w:r>
    </w:p>
    <w:p w:rsidR="002D15C3" w:rsidRPr="00111A00" w:rsidRDefault="002D15C3" w:rsidP="002D15C3">
      <w:pPr>
        <w:jc w:val="both"/>
        <w:rPr>
          <w:sz w:val="28"/>
          <w:szCs w:val="28"/>
        </w:rPr>
      </w:pPr>
      <w:r w:rsidRPr="00111A00">
        <w:rPr>
          <w:sz w:val="28"/>
          <w:szCs w:val="28"/>
        </w:rPr>
        <w:t>Укажите неизвестный компонент:</w:t>
      </w:r>
    </w:p>
    <w:p w:rsidR="00111A00" w:rsidRDefault="002D15C3" w:rsidP="002D15C3">
      <w:pPr>
        <w:jc w:val="both"/>
        <w:rPr>
          <w:sz w:val="28"/>
          <w:szCs w:val="28"/>
        </w:rPr>
      </w:pPr>
      <w:r w:rsidRPr="00111A00">
        <w:rPr>
          <w:noProof/>
          <w:sz w:val="28"/>
          <w:szCs w:val="28"/>
        </w:rPr>
        <w:drawing>
          <wp:inline distT="0" distB="0" distL="0" distR="0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E1E" w:rsidRPr="00111A00">
        <w:rPr>
          <w:sz w:val="28"/>
          <w:szCs w:val="28"/>
        </w:rPr>
        <w:t xml:space="preserve"> </w:t>
      </w:r>
    </w:p>
    <w:p w:rsidR="002D15C3" w:rsidRPr="00111A00" w:rsidRDefault="00FA5E1E" w:rsidP="002D15C3">
      <w:pPr>
        <w:jc w:val="both"/>
        <w:rPr>
          <w:sz w:val="28"/>
          <w:szCs w:val="28"/>
        </w:rPr>
      </w:pPr>
      <w:r w:rsidRPr="00111A00">
        <w:rPr>
          <w:b/>
          <w:color w:val="FF0000"/>
          <w:sz w:val="28"/>
          <w:szCs w:val="28"/>
        </w:rPr>
        <w:t>Ответ</w:t>
      </w:r>
      <w:r w:rsidRPr="00111A00">
        <w:rPr>
          <w:sz w:val="28"/>
          <w:szCs w:val="28"/>
        </w:rPr>
        <w:t>: норма дисконта (Е)</w:t>
      </w:r>
      <w:r w:rsidR="004D0D63" w:rsidRPr="00111A00">
        <w:rPr>
          <w:sz w:val="28"/>
          <w:szCs w:val="28"/>
        </w:rPr>
        <w:t>.</w:t>
      </w:r>
    </w:p>
    <w:p w:rsidR="002D15C3" w:rsidRPr="00111A00" w:rsidRDefault="002D15C3" w:rsidP="002D15C3">
      <w:pPr>
        <w:jc w:val="both"/>
        <w:rPr>
          <w:sz w:val="28"/>
          <w:szCs w:val="28"/>
        </w:rPr>
      </w:pP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b/>
          <w:i/>
          <w:sz w:val="28"/>
          <w:szCs w:val="28"/>
        </w:rPr>
        <w:sym w:font="Times New Roman" w:char="F0A3"/>
      </w:r>
      <w:r w:rsidRPr="00111A00">
        <w:rPr>
          <w:b/>
          <w:noProof/>
          <w:sz w:val="28"/>
          <w:szCs w:val="28"/>
        </w:rPr>
        <w:drawing>
          <wp:inline distT="0" distB="0" distL="0" distR="0">
            <wp:extent cx="5934075" cy="228600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lastRenderedPageBreak/>
        <w:sym w:font="Times New Roman" w:char="F0A3"/>
      </w:r>
      <w:r w:rsidRPr="00111A00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sym w:font="Times New Roman" w:char="F0A3"/>
      </w:r>
      <w:r w:rsidRPr="00111A00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sym w:font="Times New Roman" w:char="F0A3"/>
      </w:r>
      <w:r w:rsidRPr="00111A00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1E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sym w:font="Times New Roman" w:char="F0A3"/>
      </w:r>
    </w:p>
    <w:p w:rsidR="00FA5E1E" w:rsidRPr="00111A00" w:rsidRDefault="002D15C3" w:rsidP="002D15C3">
      <w:pPr>
        <w:rPr>
          <w:sz w:val="28"/>
          <w:szCs w:val="28"/>
        </w:rPr>
      </w:pPr>
      <w:r w:rsidRPr="00111A00">
        <w:rPr>
          <w:b/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sym w:font="Times New Roman" w:char="F0A3"/>
      </w:r>
      <w:r w:rsidRPr="00111A00">
        <w:rPr>
          <w:noProof/>
          <w:sz w:val="28"/>
          <w:szCs w:val="28"/>
        </w:rPr>
        <w:drawing>
          <wp:inline distT="0" distB="0" distL="0" distR="0">
            <wp:extent cx="5934075" cy="571500"/>
            <wp:effectExtent l="1905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11A00" w:rsidRDefault="002D15C3" w:rsidP="002D15C3">
      <w:pPr>
        <w:rPr>
          <w:b/>
          <w:i/>
          <w:sz w:val="28"/>
          <w:szCs w:val="28"/>
        </w:rPr>
      </w:pPr>
      <w:r w:rsidRPr="00111A00">
        <w:rPr>
          <w:b/>
          <w:i/>
          <w:sz w:val="28"/>
          <w:szCs w:val="28"/>
        </w:rPr>
        <w:t>6.</w:t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>Отметьте правильный ответ</w:t>
      </w:r>
    </w:p>
    <w:p w:rsidR="002D15C3" w:rsidRPr="00111A00" w:rsidRDefault="00BD56D2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 xml:space="preserve">Соответствие линий и точек для </w:t>
      </w:r>
      <w:r w:rsidR="002D15C3" w:rsidRPr="00111A00">
        <w:rPr>
          <w:sz w:val="28"/>
          <w:szCs w:val="28"/>
        </w:rPr>
        <w:t>6.</w:t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noProof/>
          <w:sz w:val="28"/>
          <w:szCs w:val="28"/>
        </w:rPr>
        <w:drawing>
          <wp:inline distT="0" distB="0" distL="0" distR="0">
            <wp:extent cx="3162300" cy="2000250"/>
            <wp:effectExtent l="1905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11A00" w:rsidRDefault="00D423E6" w:rsidP="002D15C3">
      <w:pPr>
        <w:ind w:left="720" w:hanging="72"/>
        <w:rPr>
          <w:color w:val="FF0000"/>
          <w:sz w:val="28"/>
          <w:szCs w:val="28"/>
        </w:rPr>
      </w:pPr>
      <w:r w:rsidRPr="00111A00">
        <w:rPr>
          <w:color w:val="FF0000"/>
          <w:sz w:val="28"/>
          <w:szCs w:val="28"/>
        </w:rPr>
        <w:sym w:font="Times New Roman" w:char="F0A3"/>
      </w:r>
      <w:r w:rsidRPr="00111A00">
        <w:rPr>
          <w:color w:val="FF0000"/>
          <w:sz w:val="28"/>
          <w:szCs w:val="28"/>
        </w:rPr>
        <w:t xml:space="preserve"> </w:t>
      </w:r>
      <w:r w:rsidR="002D15C3" w:rsidRPr="00111A00">
        <w:rPr>
          <w:color w:val="FF0000"/>
          <w:sz w:val="28"/>
          <w:szCs w:val="28"/>
        </w:rPr>
        <w:t>прибыли до уплаты налогов</w:t>
      </w:r>
      <w:r w:rsidR="002679FC" w:rsidRPr="00111A00"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переменным расходам</w:t>
      </w:r>
      <w:r w:rsidR="005E5CB5" w:rsidRPr="00111A00">
        <w:rPr>
          <w:sz w:val="28"/>
          <w:szCs w:val="28"/>
        </w:rPr>
        <w:t xml:space="preserve"> </w:t>
      </w:r>
      <w:r w:rsidR="00D423E6"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постоянным расходам</w:t>
      </w:r>
      <w:r w:rsidR="005E5CB5" w:rsidRPr="00111A00">
        <w:rPr>
          <w:sz w:val="28"/>
          <w:szCs w:val="28"/>
        </w:rPr>
        <w:t xml:space="preserve"> </w:t>
      </w:r>
      <w:r w:rsidR="00D423E6"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зоне прибыли</w:t>
      </w:r>
      <w:r w:rsidR="005E5CB5" w:rsidRPr="00111A00">
        <w:rPr>
          <w:sz w:val="28"/>
          <w:szCs w:val="28"/>
        </w:rPr>
        <w:t xml:space="preserve"> </w:t>
      </w:r>
      <w:r w:rsidR="00D423E6"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зоне убытков</w:t>
      </w:r>
      <w:r w:rsidR="005E5CB5" w:rsidRPr="00111A00">
        <w:rPr>
          <w:sz w:val="28"/>
          <w:szCs w:val="28"/>
        </w:rPr>
        <w:t xml:space="preserve"> </w:t>
      </w:r>
      <w:r w:rsidR="00D423E6"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точке безубыточности</w:t>
      </w:r>
      <w:r w:rsidR="005E5CB5" w:rsidRPr="00111A00">
        <w:rPr>
          <w:sz w:val="28"/>
          <w:szCs w:val="28"/>
        </w:rPr>
        <w:t xml:space="preserve"> </w:t>
      </w:r>
      <w:r w:rsidR="00D423E6"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ind w:left="720" w:hanging="72"/>
        <w:rPr>
          <w:b/>
          <w:sz w:val="28"/>
          <w:szCs w:val="28"/>
        </w:rPr>
      </w:pPr>
      <w:r w:rsidRPr="00111A00">
        <w:rPr>
          <w:sz w:val="28"/>
          <w:szCs w:val="28"/>
        </w:rPr>
        <w:t>кривой изменения объ</w:t>
      </w:r>
      <w:r w:rsidR="005E5CB5" w:rsidRPr="00111A00">
        <w:rPr>
          <w:sz w:val="28"/>
          <w:szCs w:val="28"/>
        </w:rPr>
        <w:t>е</w:t>
      </w:r>
      <w:r w:rsidRPr="00111A00">
        <w:rPr>
          <w:sz w:val="28"/>
          <w:szCs w:val="28"/>
        </w:rPr>
        <w:t>ма продаж</w:t>
      </w:r>
      <w:r w:rsidR="002679FC" w:rsidRPr="00111A00">
        <w:rPr>
          <w:sz w:val="28"/>
          <w:szCs w:val="28"/>
        </w:rPr>
        <w:t xml:space="preserve"> </w:t>
      </w:r>
      <w:r w:rsidR="00D423E6"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общим расходам</w:t>
      </w:r>
      <w:r w:rsidR="00EF6354" w:rsidRPr="00111A00">
        <w:rPr>
          <w:sz w:val="28"/>
          <w:szCs w:val="28"/>
        </w:rPr>
        <w:t xml:space="preserve"> </w:t>
      </w:r>
      <w:r w:rsidR="00D423E6" w:rsidRPr="00111A00">
        <w:rPr>
          <w:sz w:val="28"/>
          <w:szCs w:val="28"/>
        </w:rPr>
        <w:sym w:font="Times New Roman" w:char="F0A3"/>
      </w: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C830A6" w:rsidRPr="00111A00" w:rsidRDefault="00C830A6" w:rsidP="002D15C3">
      <w:pPr>
        <w:rPr>
          <w:b/>
          <w:i/>
          <w:sz w:val="28"/>
          <w:szCs w:val="28"/>
        </w:rPr>
      </w:pPr>
    </w:p>
    <w:p w:rsidR="002D15C3" w:rsidRPr="00111A00" w:rsidRDefault="002D15C3" w:rsidP="002D15C3">
      <w:pPr>
        <w:rPr>
          <w:b/>
          <w:i/>
          <w:sz w:val="28"/>
          <w:szCs w:val="28"/>
        </w:rPr>
      </w:pPr>
      <w:r w:rsidRPr="00111A00">
        <w:rPr>
          <w:b/>
          <w:i/>
          <w:sz w:val="28"/>
          <w:szCs w:val="28"/>
        </w:rPr>
        <w:t>7.</w:t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>Отметьте правильный ответ</w:t>
      </w:r>
    </w:p>
    <w:p w:rsidR="002D15C3" w:rsidRPr="00111A00" w:rsidRDefault="00192BD7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 xml:space="preserve">Соответствие линий и точек для </w:t>
      </w:r>
      <w:r w:rsidR="002D15C3" w:rsidRPr="00111A00">
        <w:rPr>
          <w:sz w:val="28"/>
          <w:szCs w:val="28"/>
        </w:rPr>
        <w:t>7.</w:t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noProof/>
          <w:sz w:val="28"/>
          <w:szCs w:val="28"/>
        </w:rPr>
        <w:drawing>
          <wp:inline distT="0" distB="0" distL="0" distR="0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11A00" w:rsidRDefault="002D15C3" w:rsidP="002D15C3">
      <w:pPr>
        <w:ind w:left="720" w:hanging="72"/>
        <w:rPr>
          <w:b/>
          <w:sz w:val="28"/>
          <w:szCs w:val="28"/>
        </w:rPr>
      </w:pPr>
      <w:r w:rsidRPr="00111A00">
        <w:rPr>
          <w:sz w:val="28"/>
          <w:szCs w:val="28"/>
        </w:rPr>
        <w:sym w:font="Times New Roman" w:char="F0A3"/>
      </w:r>
      <w:r w:rsidRPr="00111A00">
        <w:rPr>
          <w:sz w:val="28"/>
          <w:szCs w:val="28"/>
        </w:rPr>
        <w:t xml:space="preserve">  кривой изменения объема продаж</w:t>
      </w:r>
      <w:r w:rsidR="00C830A6" w:rsidRPr="00111A00">
        <w:rPr>
          <w:sz w:val="28"/>
          <w:szCs w:val="28"/>
        </w:rPr>
        <w:t xml:space="preserve"> </w:t>
      </w:r>
      <w:r w:rsidR="00C830A6" w:rsidRPr="00111A00">
        <w:rPr>
          <w:b/>
          <w:sz w:val="28"/>
          <w:szCs w:val="28"/>
          <w:u w:val="single"/>
        </w:rPr>
        <w:t>7</w:t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прибыли до уплаты налогов</w:t>
      </w:r>
      <w:r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переменным расходам</w:t>
      </w:r>
      <w:r w:rsidR="00210EFC" w:rsidRPr="00111A00">
        <w:rPr>
          <w:sz w:val="28"/>
          <w:szCs w:val="28"/>
        </w:rPr>
        <w:t xml:space="preserve"> </w:t>
      </w:r>
      <w:r w:rsidR="00D423E6"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постоянным расходам</w:t>
      </w:r>
      <w:r w:rsidR="00D423E6" w:rsidRPr="00111A00">
        <w:rPr>
          <w:sz w:val="28"/>
          <w:szCs w:val="28"/>
        </w:rPr>
        <w:t xml:space="preserve"> </w:t>
      </w:r>
      <w:r w:rsidR="00D423E6"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зоне прибыли</w:t>
      </w:r>
      <w:r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зоне убытков</w:t>
      </w:r>
      <w:r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точке безубыточности</w:t>
      </w:r>
      <w:r w:rsidRPr="00111A00">
        <w:rPr>
          <w:sz w:val="28"/>
          <w:szCs w:val="28"/>
        </w:rPr>
        <w:sym w:font="Times New Roman" w:char="F0A3"/>
      </w:r>
      <w:r w:rsidR="00C830A6" w:rsidRPr="00111A00">
        <w:rPr>
          <w:sz w:val="28"/>
          <w:szCs w:val="28"/>
        </w:rPr>
        <w:t xml:space="preserve"> </w:t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общим расходам</w:t>
      </w:r>
      <w:r w:rsidRPr="00111A00">
        <w:rPr>
          <w:sz w:val="28"/>
          <w:szCs w:val="28"/>
        </w:rPr>
        <w:sym w:font="Times New Roman" w:char="F0A3"/>
      </w:r>
    </w:p>
    <w:p w:rsidR="002D15C3" w:rsidRPr="00111A00" w:rsidRDefault="002D15C3" w:rsidP="002D15C3">
      <w:pPr>
        <w:rPr>
          <w:b/>
          <w:i/>
          <w:sz w:val="28"/>
          <w:szCs w:val="28"/>
        </w:rPr>
      </w:pPr>
      <w:r w:rsidRPr="00111A00">
        <w:rPr>
          <w:b/>
          <w:i/>
          <w:sz w:val="28"/>
          <w:szCs w:val="28"/>
        </w:rPr>
        <w:t>8.</w:t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>Отметьте правильный ответ</w:t>
      </w:r>
    </w:p>
    <w:p w:rsidR="002D15C3" w:rsidRPr="00111A00" w:rsidRDefault="002D15C3" w:rsidP="002D15C3">
      <w:pPr>
        <w:rPr>
          <w:sz w:val="28"/>
          <w:szCs w:val="28"/>
        </w:rPr>
      </w:pPr>
      <w:r w:rsidRPr="00111A00">
        <w:rPr>
          <w:sz w:val="28"/>
          <w:szCs w:val="28"/>
        </w:rPr>
        <w:t>Абсолютным критерием статического метода оценки экономической эф</w:t>
      </w:r>
      <w:r w:rsidR="00406097" w:rsidRPr="00111A00">
        <w:rPr>
          <w:sz w:val="28"/>
          <w:szCs w:val="28"/>
        </w:rPr>
        <w:t>фективности инвестиций является</w:t>
      </w:r>
      <w:r w:rsidRPr="00111A00">
        <w:rPr>
          <w:sz w:val="28"/>
          <w:szCs w:val="28"/>
        </w:rPr>
        <w:t>:</w:t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интегральный экономический</w:t>
      </w:r>
      <w:r w:rsidR="00406097" w:rsidRPr="00111A00">
        <w:rPr>
          <w:sz w:val="28"/>
          <w:szCs w:val="28"/>
        </w:rPr>
        <w:t xml:space="preserve"> </w:t>
      </w:r>
      <w:r w:rsidRPr="00111A00">
        <w:rPr>
          <w:sz w:val="28"/>
          <w:szCs w:val="28"/>
        </w:rPr>
        <w:t>эффект</w:t>
      </w:r>
    </w:p>
    <w:p w:rsidR="002D15C3" w:rsidRPr="00111A00" w:rsidRDefault="002D15C3" w:rsidP="002D15C3">
      <w:pPr>
        <w:ind w:left="720" w:hanging="72"/>
        <w:rPr>
          <w:sz w:val="28"/>
          <w:szCs w:val="28"/>
        </w:rPr>
      </w:pPr>
      <w:r w:rsidRPr="00111A00">
        <w:rPr>
          <w:sz w:val="28"/>
          <w:szCs w:val="28"/>
        </w:rPr>
        <w:t>индекс доходности</w:t>
      </w:r>
    </w:p>
    <w:p w:rsidR="002D15C3" w:rsidRPr="00111A00" w:rsidRDefault="002D15C3" w:rsidP="002D15C3">
      <w:pPr>
        <w:ind w:left="720" w:hanging="72"/>
        <w:rPr>
          <w:b/>
          <w:sz w:val="28"/>
          <w:szCs w:val="28"/>
          <w:u w:val="single"/>
        </w:rPr>
      </w:pPr>
      <w:r w:rsidRPr="00111A00">
        <w:rPr>
          <w:b/>
          <w:sz w:val="28"/>
          <w:szCs w:val="28"/>
          <w:u w:val="single"/>
        </w:rPr>
        <w:t>среднегодовой доход</w:t>
      </w:r>
    </w:p>
    <w:p w:rsidR="0011585D" w:rsidRPr="00111A00" w:rsidRDefault="0011585D">
      <w:pPr>
        <w:rPr>
          <w:sz w:val="28"/>
          <w:szCs w:val="28"/>
        </w:rPr>
      </w:pPr>
    </w:p>
    <w:sectPr w:rsidR="0011585D" w:rsidRPr="00111A00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C3"/>
    <w:rsid w:val="0001707F"/>
    <w:rsid w:val="000464C0"/>
    <w:rsid w:val="00062E12"/>
    <w:rsid w:val="000914F7"/>
    <w:rsid w:val="00111A00"/>
    <w:rsid w:val="0011585D"/>
    <w:rsid w:val="00116AC3"/>
    <w:rsid w:val="00161F74"/>
    <w:rsid w:val="00192BD7"/>
    <w:rsid w:val="001A7341"/>
    <w:rsid w:val="00210EFC"/>
    <w:rsid w:val="002679FC"/>
    <w:rsid w:val="002D15C3"/>
    <w:rsid w:val="00376E69"/>
    <w:rsid w:val="003E6CDD"/>
    <w:rsid w:val="00406097"/>
    <w:rsid w:val="004D0D63"/>
    <w:rsid w:val="004D4A6A"/>
    <w:rsid w:val="00566E90"/>
    <w:rsid w:val="005E5CB5"/>
    <w:rsid w:val="00600D27"/>
    <w:rsid w:val="007C044E"/>
    <w:rsid w:val="007E28C5"/>
    <w:rsid w:val="00884DA4"/>
    <w:rsid w:val="00907F78"/>
    <w:rsid w:val="00B11BDC"/>
    <w:rsid w:val="00BC4325"/>
    <w:rsid w:val="00BD56D2"/>
    <w:rsid w:val="00BE2A74"/>
    <w:rsid w:val="00C830A6"/>
    <w:rsid w:val="00CC7C52"/>
    <w:rsid w:val="00D423E6"/>
    <w:rsid w:val="00D73217"/>
    <w:rsid w:val="00E47A8D"/>
    <w:rsid w:val="00EF6354"/>
    <w:rsid w:val="00F37580"/>
    <w:rsid w:val="00F47C19"/>
    <w:rsid w:val="00F839B2"/>
    <w:rsid w:val="00FA214E"/>
    <w:rsid w:val="00FA5E1E"/>
    <w:rsid w:val="00F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A8D4"/>
  <w15:docId w15:val="{C0BC8CA8-8BD2-41B8-9DFC-A85DAB58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Ilya Palchikovskiy</cp:lastModifiedBy>
  <cp:revision>2</cp:revision>
  <dcterms:created xsi:type="dcterms:W3CDTF">2020-11-24T11:03:00Z</dcterms:created>
  <dcterms:modified xsi:type="dcterms:W3CDTF">2020-11-24T11:03:00Z</dcterms:modified>
</cp:coreProperties>
</file>