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b/>
          <w:color w:val="000000"/>
          <w:sz w:val="28"/>
          <w:szCs w:val="28"/>
        </w:rPr>
      </w:pPr>
      <w:bookmarkStart w:id="0" w:name="_GoBack"/>
      <w:r w:rsidRPr="00F96A29">
        <w:rPr>
          <w:b/>
          <w:color w:val="000000"/>
          <w:sz w:val="28"/>
          <w:szCs w:val="28"/>
        </w:rPr>
        <w:t>Требования к качеству электроэнергии в договорах электр</w:t>
      </w:r>
      <w:r w:rsidRPr="009D6975">
        <w:rPr>
          <w:b/>
          <w:color w:val="000000"/>
          <w:sz w:val="28"/>
          <w:szCs w:val="28"/>
        </w:rPr>
        <w:t>оснабжения</w:t>
      </w:r>
      <w:bookmarkEnd w:id="0"/>
      <w:r w:rsidRPr="009D6975">
        <w:rPr>
          <w:b/>
          <w:color w:val="000000"/>
          <w:sz w:val="28"/>
          <w:szCs w:val="28"/>
        </w:rPr>
        <w:t>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b/>
          <w:color w:val="000000"/>
          <w:sz w:val="28"/>
          <w:szCs w:val="28"/>
        </w:rPr>
      </w:pPr>
    </w:p>
    <w:p w:rsidR="00F96A29" w:rsidRPr="009D6975" w:rsidRDefault="009823EC" w:rsidP="009D6975">
      <w:pPr>
        <w:shd w:val="clear" w:color="auto" w:fill="FFFFFF"/>
        <w:autoSpaceDE w:val="0"/>
        <w:autoSpaceDN w:val="0"/>
        <w:adjustRightInd w:val="0"/>
        <w:spacing w:after="80" w:line="360" w:lineRule="auto"/>
        <w:ind w:left="-28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F96A29" w:rsidRPr="009D6975">
        <w:rPr>
          <w:b/>
          <w:color w:val="000000"/>
          <w:sz w:val="28"/>
          <w:szCs w:val="28"/>
        </w:rPr>
        <w:t>Правовая база.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Гражданский кодекс РФ {ст. 542) устанавливает как обязательное условие по отпуску электрической энергии {ЭЭ) потребителям соответствие ее качества требованиям </w:t>
      </w:r>
      <w:r w:rsidR="009823EC">
        <w:rPr>
          <w:color w:val="000000"/>
          <w:sz w:val="28"/>
          <w:szCs w:val="28"/>
        </w:rPr>
        <w:t xml:space="preserve">государственных </w:t>
      </w:r>
      <w:proofErr w:type="gramStart"/>
      <w:r w:rsidR="009823EC">
        <w:rPr>
          <w:color w:val="000000"/>
          <w:sz w:val="28"/>
          <w:szCs w:val="28"/>
        </w:rPr>
        <w:t xml:space="preserve">стандартов </w:t>
      </w:r>
      <w:r w:rsidRPr="009D6975">
        <w:rPr>
          <w:color w:val="000000"/>
          <w:sz w:val="28"/>
          <w:szCs w:val="28"/>
        </w:rPr>
        <w:t xml:space="preserve"> или</w:t>
      </w:r>
      <w:proofErr w:type="gramEnd"/>
      <w:r w:rsidRPr="009D6975">
        <w:rPr>
          <w:color w:val="000000"/>
          <w:sz w:val="28"/>
          <w:szCs w:val="28"/>
        </w:rPr>
        <w:t xml:space="preserve"> договоров энергоснабжения. С июня 2003 г. вступил в силу новый федеральный закон, утвержденный Президентом РФ (№184-ФЗ от 27.02.2002), - О техническом регулировании». В соответствии с этим законом обеспечение защиты жизни и здоровья граждан, имущества физических или юридических лиц должно осуществляться в соответствии с техническими регламентами, устанавливающими минимально необходимые требования, обеспечивающие электрическую и электромагнитную безопасности работы приборов и оборудования.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Договор энергоснабжения относится к категории публичных договоров. Он заключается между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организацией (ЭСО) и потребителем </w:t>
      </w:r>
      <w:proofErr w:type="gramStart"/>
      <w:r w:rsidRPr="009D6975">
        <w:rPr>
          <w:color w:val="000000"/>
          <w:sz w:val="28"/>
          <w:szCs w:val="28"/>
        </w:rPr>
        <w:t>электроэнергии</w:t>
      </w:r>
      <w:proofErr w:type="gramEnd"/>
      <w:r w:rsidRPr="009D6975">
        <w:rPr>
          <w:color w:val="000000"/>
          <w:sz w:val="28"/>
          <w:szCs w:val="28"/>
        </w:rPr>
        <w:t xml:space="preserve"> на продажу/покупку ЭЭ. В силу того, что производство, передача и распределение ЭЭ составляют основную функцию ЭСО</w:t>
      </w:r>
      <w:proofErr w:type="gramStart"/>
      <w:r w:rsidRPr="009D6975">
        <w:rPr>
          <w:color w:val="000000"/>
          <w:sz w:val="28"/>
          <w:szCs w:val="28"/>
        </w:rPr>
        <w:t>. основной</w:t>
      </w:r>
      <w:proofErr w:type="gramEnd"/>
      <w:r w:rsidRPr="009D6975">
        <w:rPr>
          <w:color w:val="000000"/>
          <w:sz w:val="28"/>
          <w:szCs w:val="28"/>
        </w:rPr>
        <w:t xml:space="preserve"> вид ее коммерческой деятельности, она должна осуществлять ее в отношении всех своих потребителей. Отказ ЭСО от заключения публичного договора при наличии возможности отпуска ЭЭ не допускается.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В марте 2003 г. отделом учета и качества электроэнергии Управления </w:t>
      </w:r>
      <w:proofErr w:type="spellStart"/>
      <w:r w:rsidRPr="009D6975">
        <w:rPr>
          <w:color w:val="000000"/>
          <w:sz w:val="28"/>
          <w:szCs w:val="28"/>
        </w:rPr>
        <w:t>Мособлгосэнергонадзора</w:t>
      </w:r>
      <w:proofErr w:type="spellEnd"/>
      <w:r w:rsidRPr="009D6975">
        <w:rPr>
          <w:color w:val="000000"/>
          <w:sz w:val="28"/>
          <w:szCs w:val="28"/>
        </w:rPr>
        <w:t xml:space="preserve"> проведен семинар по теме «Требования по качеству электроэнергии в договорах и технических условиях, разрабатываемых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организацией», в котором приняли участие ведущие специалисты электросетевых предприятий Московской области, ОАО «Мосэнерго», Госстандарта Российской Федерации, научных организаций. Как показали результаты семинара, должного внимания к требованиям по обеспечению качества электроэнергии {КЭ) в типовом договоре энергоснабжения, предусматривающем права и ответственность сторон в части обеспечения КЭ, не уделяется.</w:t>
      </w:r>
    </w:p>
    <w:p w:rsidR="00F96A29" w:rsidRPr="009D6975" w:rsidRDefault="00F96A29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lastRenderedPageBreak/>
        <w:t xml:space="preserve">Правовая сторона этой проблемы может рассматриваться только как необходимое условие. Тогда как организационные и технические мероприятия, определяющие достаточные условия в типовом договоре, являются предметом конкретной разработки сторон по отношению к точке присоединения потребителя к сети ЭСО. Эти мероприятия должны формулироваться в приложении </w:t>
      </w:r>
      <w:r w:rsidRPr="009D6975">
        <w:rPr>
          <w:bCs/>
          <w:color w:val="000000"/>
          <w:sz w:val="28"/>
          <w:szCs w:val="28"/>
        </w:rPr>
        <w:t>к</w:t>
      </w:r>
      <w:r w:rsidRPr="009D6975">
        <w:rPr>
          <w:b/>
          <w:bCs/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договору, но, к сожалению, практика показывает, что приложения отсутствуют. Зачастую в договорах энергоснабжения ЭСО добровольно берет на себя ответственность обеспечить качество электрической энергии в соответствии с требованиями ГОСТ 13109-97, хотя фактически никаких работ по обеспечению КЭ не производится.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Вместе с т</w:t>
      </w:r>
      <w:r w:rsidR="009823EC">
        <w:rPr>
          <w:color w:val="000000"/>
          <w:sz w:val="28"/>
          <w:szCs w:val="28"/>
        </w:rPr>
        <w:t>ем, многочисленные измерения</w:t>
      </w:r>
      <w:r w:rsidRPr="009D6975">
        <w:rPr>
          <w:color w:val="000000"/>
          <w:sz w:val="28"/>
          <w:szCs w:val="28"/>
        </w:rPr>
        <w:t xml:space="preserve"> показателей КЭ позволили зарегистрировать нарушения требований ГОСТ 13109-97 как в сетях потребителей, так и в сетях ЭСО.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Можно предположить, что в условиях формирования оптового рынка электроэнергии эта проблема обострится в связи с отрицательными последствиями, вызванными ухудшением КЭ. Ущерб, нанесенный имуществу юридических и физических лиц (даже только с этой точки зрения), не останется незамеченным, как это имеет место в настоящее время.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after="80"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 xml:space="preserve">Методические </w:t>
      </w:r>
      <w:r w:rsidRPr="009D6975">
        <w:rPr>
          <w:color w:val="000000"/>
          <w:sz w:val="28"/>
          <w:szCs w:val="28"/>
        </w:rPr>
        <w:t xml:space="preserve">и </w:t>
      </w:r>
      <w:r w:rsidRPr="009D6975">
        <w:rPr>
          <w:b/>
          <w:bCs/>
          <w:color w:val="000000"/>
          <w:sz w:val="28"/>
          <w:szCs w:val="28"/>
        </w:rPr>
        <w:t>технические возможности</w:t>
      </w:r>
      <w:r w:rsidR="00B575CC" w:rsidRPr="009D6975">
        <w:rPr>
          <w:b/>
          <w:bCs/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Методические и технические возможности введения требований к КЭ в договоры энергоснабжения определяют относительно успешное решение поставленной задачи. Генеральная задача состоит в обеспечении КЭ в электрических сетях и. таким образом, в выполнении требований законов, нормативных актов и договоров.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Методические возможности, то есть описание организации технологии измерений и процедур их проведения с целью контроля и анализа КЭ, а также определения неустойки за невыполнение договорных обязатель</w:t>
      </w:r>
      <w:r w:rsidR="009823EC">
        <w:rPr>
          <w:color w:val="000000"/>
          <w:sz w:val="28"/>
          <w:szCs w:val="28"/>
        </w:rPr>
        <w:t>ств (ст. 329 ГК РФ) обеспечены</w:t>
      </w:r>
      <w:r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Технические возможности, то есть наличие специально обученного персонала и средств измерения, сегодня настолько достаточны, что можно при активном </w:t>
      </w:r>
      <w:r w:rsidRPr="009D6975">
        <w:rPr>
          <w:color w:val="000000"/>
          <w:sz w:val="28"/>
          <w:szCs w:val="28"/>
        </w:rPr>
        <w:lastRenderedPageBreak/>
        <w:t xml:space="preserve">участии испытательных лабораторий по КЭ, аккредитованных Госстандартом РФ и допущенных органами </w:t>
      </w:r>
      <w:proofErr w:type="spellStart"/>
      <w:r w:rsidRPr="009D6975">
        <w:rPr>
          <w:color w:val="000000"/>
          <w:sz w:val="28"/>
          <w:szCs w:val="28"/>
        </w:rPr>
        <w:t>Госэнергонадзора</w:t>
      </w:r>
      <w:proofErr w:type="spellEnd"/>
      <w:r w:rsidRPr="009D6975">
        <w:rPr>
          <w:color w:val="000000"/>
          <w:sz w:val="28"/>
          <w:szCs w:val="28"/>
        </w:rPr>
        <w:t>, а таковых в России около 60, развернуть работы по заключению договоров энергоснабжения.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Важным организационным звеном в этой работе являются службы </w:t>
      </w:r>
      <w:proofErr w:type="spellStart"/>
      <w:r w:rsidRPr="009D6975">
        <w:rPr>
          <w:color w:val="000000"/>
          <w:sz w:val="28"/>
          <w:szCs w:val="28"/>
        </w:rPr>
        <w:t>Госэнергонадзора</w:t>
      </w:r>
      <w:proofErr w:type="spellEnd"/>
      <w:r w:rsidRPr="009D6975">
        <w:rPr>
          <w:color w:val="000000"/>
          <w:sz w:val="28"/>
          <w:szCs w:val="28"/>
        </w:rPr>
        <w:t xml:space="preserve"> и </w:t>
      </w:r>
      <w:proofErr w:type="spellStart"/>
      <w:r w:rsidRPr="009D6975">
        <w:rPr>
          <w:color w:val="000000"/>
          <w:sz w:val="28"/>
          <w:szCs w:val="28"/>
        </w:rPr>
        <w:t>энергосбытовых</w:t>
      </w:r>
      <w:proofErr w:type="spellEnd"/>
      <w:r w:rsidRPr="009D6975">
        <w:rPr>
          <w:color w:val="000000"/>
          <w:sz w:val="28"/>
          <w:szCs w:val="28"/>
        </w:rPr>
        <w:t xml:space="preserve"> организаций.</w:t>
      </w:r>
    </w:p>
    <w:p w:rsidR="00893D21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В связи с этим представляется целесообразным рассмотреть пример заключения типового договора энергоснабжения в части КЭ. 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>Отражение требований по КЭ в договорах энергоснабжения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t xml:space="preserve">В </w:t>
      </w:r>
      <w:r w:rsidRPr="009D6975">
        <w:rPr>
          <w:color w:val="000000"/>
          <w:sz w:val="28"/>
          <w:szCs w:val="28"/>
        </w:rPr>
        <w:t>действующем типовом договоре энергоснабжения (</w:t>
      </w:r>
      <w:proofErr w:type="spellStart"/>
      <w:r w:rsidRPr="009D6975">
        <w:rPr>
          <w:color w:val="000000"/>
          <w:sz w:val="28"/>
          <w:szCs w:val="28"/>
        </w:rPr>
        <w:t>п.п</w:t>
      </w:r>
      <w:proofErr w:type="spellEnd"/>
      <w:r w:rsidRPr="009D6975">
        <w:rPr>
          <w:color w:val="000000"/>
          <w:sz w:val="28"/>
          <w:szCs w:val="28"/>
        </w:rPr>
        <w:t>. 2 и 3) уже давно предусмотрены права и обязанности ЭСО и абонента в части поддержания КЭ на границах балансовой принадлежности. Так, ЭСО обязуется «поддерживать на границе балансовой принадлежности электросети показатели качества электроэнергии (ПКЭ) в соответствии с ГОСТ 13109-97». При этом ЭСО имеет право «прекращать подачу ЭЭ полностью или частично... в случаях ухудшения ПКЭ по вине абонента до значений, нарушающих нормальное функционирование электроустановок ЭСО или других абонентов».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В свою очередь, абонент обязуется «поддерживать совместно с ЭСО ПКЭ в соответствии с ГОСТ 13109-97, а при ухудшении КЭ проводить переключение...» Он же имеет право требовать от ЭСО поддержания ПКЭ на уровне, установленном ГОСТом.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Однако процедуры контроля выполнения этих прав и обязанностей, как правило, в договоре отсутствуют. Вместе с тем, они изве</w:t>
      </w:r>
      <w:r w:rsidR="009823EC">
        <w:rPr>
          <w:color w:val="000000"/>
          <w:sz w:val="28"/>
          <w:szCs w:val="28"/>
        </w:rPr>
        <w:t xml:space="preserve">стны еще с начала 90-х </w:t>
      </w:r>
      <w:proofErr w:type="gramStart"/>
      <w:r w:rsidR="009823EC">
        <w:rPr>
          <w:color w:val="000000"/>
          <w:sz w:val="28"/>
          <w:szCs w:val="28"/>
        </w:rPr>
        <w:t xml:space="preserve">годов </w:t>
      </w:r>
      <w:r w:rsidRPr="009D6975">
        <w:rPr>
          <w:color w:val="000000"/>
          <w:sz w:val="28"/>
          <w:szCs w:val="28"/>
        </w:rPr>
        <w:t>.</w:t>
      </w:r>
      <w:proofErr w:type="gramEnd"/>
      <w:r w:rsidRPr="009D6975">
        <w:rPr>
          <w:color w:val="000000"/>
          <w:sz w:val="28"/>
          <w:szCs w:val="28"/>
        </w:rPr>
        <w:t xml:space="preserve"> Позднее, в 2001 г., в связи с отменой некоторых директивных правил и инструкций они утратили свою силу. Фактически это было обусловлено тем, что вступил в действие новый ГОСТ 13109-97, а вместо вступивших в противоречие с Законом скидок/надбавок к тарифам на ЭЭ стало возможным применять «неустойки за ненадлежащее выполнение условий договора энергоснабжения».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Проект новых Правил, разработанных ОАО «ВНИИЭ» и находящихся в настоящее время на рассмотрении в</w:t>
      </w:r>
      <w:r w:rsidR="009823EC">
        <w:rPr>
          <w:color w:val="000000"/>
          <w:sz w:val="28"/>
          <w:szCs w:val="28"/>
        </w:rPr>
        <w:t xml:space="preserve"> Минэнерго РФ</w:t>
      </w:r>
      <w:r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lastRenderedPageBreak/>
        <w:t>Согласно этим Правилам, в договоре должны быть установлены: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</w:t>
      </w:r>
      <w:r w:rsidR="00A81584" w:rsidRPr="009D6975">
        <w:rPr>
          <w:color w:val="000000"/>
          <w:sz w:val="28"/>
          <w:szCs w:val="28"/>
        </w:rPr>
        <w:t>еречень ПКЭ, по которым стороны намерены применять неустойки;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Т</w:t>
      </w:r>
      <w:r w:rsidR="00A81584" w:rsidRPr="009D6975">
        <w:rPr>
          <w:color w:val="000000"/>
          <w:sz w:val="28"/>
          <w:szCs w:val="28"/>
        </w:rPr>
        <w:t>очка коммерческого контроля КЭ (ТК);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Т</w:t>
      </w:r>
      <w:r w:rsidR="00A81584" w:rsidRPr="009D6975">
        <w:rPr>
          <w:color w:val="000000"/>
          <w:sz w:val="28"/>
          <w:szCs w:val="28"/>
        </w:rPr>
        <w:t xml:space="preserve">ребуемые значения установившегося отклонения напряжения в ТК, которые обязаны поддерживать </w:t>
      </w:r>
      <w:proofErr w:type="spellStart"/>
      <w:r w:rsidR="00A81584" w:rsidRPr="009D6975">
        <w:rPr>
          <w:color w:val="000000"/>
          <w:sz w:val="28"/>
          <w:szCs w:val="28"/>
        </w:rPr>
        <w:t>энергоснабжающая</w:t>
      </w:r>
      <w:proofErr w:type="spellEnd"/>
      <w:r w:rsidR="00A81584" w:rsidRPr="009D6975">
        <w:rPr>
          <w:color w:val="000000"/>
          <w:sz w:val="28"/>
          <w:szCs w:val="28"/>
        </w:rPr>
        <w:t xml:space="preserve"> организация в режимах наибольших и наименьших нагрузок;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З</w:t>
      </w:r>
      <w:r w:rsidR="00A81584" w:rsidRPr="009D6975">
        <w:rPr>
          <w:color w:val="000000"/>
          <w:sz w:val="28"/>
          <w:szCs w:val="28"/>
        </w:rPr>
        <w:t>начение других ПКЭ, которые обязана поддерживать ЭСО при условии, что потребители не превышают установленных для них по этим ПКЭ допустимых вкладов;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Д</w:t>
      </w:r>
      <w:r w:rsidR="00A81584" w:rsidRPr="009D6975">
        <w:rPr>
          <w:color w:val="000000"/>
          <w:sz w:val="28"/>
          <w:szCs w:val="28"/>
        </w:rPr>
        <w:t>опустимые вклады потребителя в значении ПКЭ, токи (мощности) искажений в ТК, при превышении которых вина за нарушение норм ГОСТ 13109-97 возлагается на потребителя;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</w:t>
      </w:r>
      <w:r w:rsidR="00A81584" w:rsidRPr="009D6975">
        <w:rPr>
          <w:color w:val="000000"/>
          <w:sz w:val="28"/>
          <w:szCs w:val="28"/>
        </w:rPr>
        <w:t>ериодичность и продолжительность измерений, на основе которых определяют виновную в нарушении ГОСТа сторону;</w:t>
      </w:r>
    </w:p>
    <w:p w:rsidR="00A81584" w:rsidRPr="009D6975" w:rsidRDefault="00893D21" w:rsidP="009D6975">
      <w:pPr>
        <w:numPr>
          <w:ilvl w:val="0"/>
          <w:numId w:val="5"/>
        </w:numPr>
        <w:shd w:val="clear" w:color="auto" w:fill="FFFFFF"/>
        <w:tabs>
          <w:tab w:val="clear" w:pos="284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О</w:t>
      </w:r>
      <w:r w:rsidR="00A81584" w:rsidRPr="009D6975">
        <w:rPr>
          <w:color w:val="000000"/>
          <w:sz w:val="28"/>
          <w:szCs w:val="28"/>
        </w:rPr>
        <w:t>писание организации измерений и процедур их проведения как для определения стороны, виновной в нарушении ГОСТа, так и для определения размера неустойки, возлагаемой на виновника.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Требуемые значения установившихся отклонений напряжения в ТК и допустимых вкл</w:t>
      </w:r>
      <w:r w:rsidR="00893D21" w:rsidRPr="009D6975">
        <w:rPr>
          <w:color w:val="000000"/>
          <w:sz w:val="28"/>
          <w:szCs w:val="28"/>
        </w:rPr>
        <w:t>а</w:t>
      </w:r>
      <w:r w:rsidRPr="009D6975">
        <w:rPr>
          <w:color w:val="000000"/>
          <w:sz w:val="28"/>
          <w:szCs w:val="28"/>
        </w:rPr>
        <w:t>дов потребителя в значения ПКЭ, вносимые в договоры, рассчитываю</w:t>
      </w:r>
      <w:r w:rsidR="009823EC">
        <w:rPr>
          <w:color w:val="000000"/>
          <w:sz w:val="28"/>
          <w:szCs w:val="28"/>
        </w:rPr>
        <w:t>т в соответствии с Правилами</w:t>
      </w:r>
      <w:r w:rsidRPr="009D6975">
        <w:rPr>
          <w:color w:val="000000"/>
          <w:sz w:val="28"/>
          <w:szCs w:val="28"/>
        </w:rPr>
        <w:t>. Определение фактического вклада потребителя здесь предлагается выполнять путем прямых измерений, предусмотренных в</w:t>
      </w:r>
      <w:r w:rsidRPr="009D6975">
        <w:rPr>
          <w:b/>
          <w:bCs/>
          <w:color w:val="000000"/>
          <w:sz w:val="28"/>
          <w:szCs w:val="28"/>
        </w:rPr>
        <w:t xml:space="preserve">. </w:t>
      </w:r>
      <w:r w:rsidRPr="009D6975">
        <w:rPr>
          <w:color w:val="000000"/>
          <w:sz w:val="28"/>
          <w:szCs w:val="28"/>
        </w:rPr>
        <w:t>Следует обратить внимание на то, что неустойки за нарушение договорных условий по установившимся отклонениям напряжения и частоты возлагаются в одностороннем порядке только на ЭСО. По остальным ПКЭ, включенным в договор энергоснабжения, неустойки возлагаются на ту или иную виновную сторону.</w:t>
      </w: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A81584" w:rsidRPr="009D6975" w:rsidRDefault="00A81584" w:rsidP="009823E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center"/>
        <w:rPr>
          <w:sz w:val="28"/>
          <w:szCs w:val="28"/>
        </w:rPr>
      </w:pPr>
      <w:r w:rsidRPr="009D6975">
        <w:rPr>
          <w:b/>
          <w:bCs/>
          <w:color w:val="000000"/>
          <w:sz w:val="28"/>
          <w:szCs w:val="28"/>
        </w:rPr>
        <w:lastRenderedPageBreak/>
        <w:t>Технические требования по КЭ, вносимые</w:t>
      </w:r>
    </w:p>
    <w:p w:rsidR="00893D21" w:rsidRPr="009D6975" w:rsidRDefault="00A81584" w:rsidP="009823E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center"/>
        <w:rPr>
          <w:b/>
          <w:bCs/>
          <w:color w:val="000000"/>
          <w:sz w:val="28"/>
          <w:szCs w:val="28"/>
        </w:rPr>
      </w:pPr>
      <w:proofErr w:type="gramStart"/>
      <w:r w:rsidRPr="009D6975">
        <w:rPr>
          <w:b/>
          <w:bCs/>
          <w:color w:val="000000"/>
          <w:sz w:val="28"/>
          <w:szCs w:val="28"/>
        </w:rPr>
        <w:t>в</w:t>
      </w:r>
      <w:proofErr w:type="gramEnd"/>
      <w:r w:rsidRPr="009D6975">
        <w:rPr>
          <w:b/>
          <w:bCs/>
          <w:color w:val="000000"/>
          <w:sz w:val="28"/>
          <w:szCs w:val="28"/>
        </w:rPr>
        <w:t xml:space="preserve"> договор энергоснабжения (пример)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after="120"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Схема электроснабжения на ЦП 110/10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приведена на рисунке, где шины 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установлены в качестве границы балансовой принадлежности. С шин 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получают питание три потребителя, каждый из которых имеет свой договор энергоснабжения. Трансформатор 110/10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принадлежит ЭСО.</w:t>
      </w:r>
    </w:p>
    <w:p w:rsidR="004E615D" w:rsidRPr="009D6975" w:rsidRDefault="009823EC" w:rsidP="009D6975">
      <w:pPr>
        <w:shd w:val="clear" w:color="auto" w:fill="FFFFFF"/>
        <w:autoSpaceDE w:val="0"/>
        <w:autoSpaceDN w:val="0"/>
        <w:adjustRightInd w:val="0"/>
        <w:spacing w:after="120" w:line="360" w:lineRule="auto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647950"/>
            <wp:effectExtent l="19050" t="0" r="0" b="0"/>
            <wp:docPr id="1" name="Рисунок 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5D" w:rsidRPr="009D6975" w:rsidRDefault="004E615D" w:rsidP="009D6975">
      <w:pPr>
        <w:shd w:val="clear" w:color="auto" w:fill="FFFFFF"/>
        <w:autoSpaceDE w:val="0"/>
        <w:autoSpaceDN w:val="0"/>
        <w:adjustRightInd w:val="0"/>
        <w:spacing w:after="120" w:line="360" w:lineRule="auto"/>
        <w:ind w:left="-284"/>
        <w:jc w:val="both"/>
        <w:rPr>
          <w:b/>
          <w:sz w:val="28"/>
          <w:szCs w:val="28"/>
        </w:rPr>
      </w:pPr>
      <w:r w:rsidRPr="009D6975">
        <w:rPr>
          <w:b/>
          <w:i/>
          <w:sz w:val="28"/>
          <w:szCs w:val="28"/>
        </w:rPr>
        <w:t>Рис.1.</w:t>
      </w:r>
      <w:r w:rsidRPr="009D6975">
        <w:rPr>
          <w:b/>
          <w:sz w:val="28"/>
          <w:szCs w:val="28"/>
        </w:rPr>
        <w:t xml:space="preserve"> Пример типовой </w:t>
      </w:r>
      <w:proofErr w:type="spellStart"/>
      <w:r w:rsidRPr="009D6975">
        <w:rPr>
          <w:b/>
          <w:sz w:val="28"/>
          <w:szCs w:val="28"/>
        </w:rPr>
        <w:t>однотрансформаторной</w:t>
      </w:r>
      <w:proofErr w:type="spellEnd"/>
      <w:r w:rsidRPr="009D6975">
        <w:rPr>
          <w:b/>
          <w:sz w:val="28"/>
          <w:szCs w:val="28"/>
        </w:rPr>
        <w:t xml:space="preserve"> подстанции 110/10 </w:t>
      </w:r>
      <w:proofErr w:type="spellStart"/>
      <w:r w:rsidRPr="009D6975">
        <w:rPr>
          <w:b/>
          <w:sz w:val="28"/>
          <w:szCs w:val="28"/>
        </w:rPr>
        <w:t>кВ.</w:t>
      </w:r>
      <w:proofErr w:type="spellEnd"/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В договоре энергоснабжения могут устанавливаться требования по любым ПКЭ. При этом ЭСО обязуется поддерживать значения ПКЭ в точке присоединения потребителя, которая и будет точкой контроля, в пределах, установленных ГОСТ 13109-97, при условии, что ни один из потребителей не превышает допустимого вклада ШВП).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По согласованию с потребителем </w:t>
      </w:r>
      <w:proofErr w:type="spellStart"/>
      <w:r w:rsidRPr="009D6975">
        <w:rPr>
          <w:color w:val="000000"/>
          <w:sz w:val="28"/>
          <w:szCs w:val="28"/>
        </w:rPr>
        <w:t>энергоснабжающая</w:t>
      </w:r>
      <w:proofErr w:type="spellEnd"/>
      <w:r w:rsidRPr="009D6975">
        <w:rPr>
          <w:color w:val="000000"/>
          <w:sz w:val="28"/>
          <w:szCs w:val="28"/>
        </w:rPr>
        <w:t xml:space="preserve"> организация может не указывать в договоре энергоснабжения требования к допустимому вкладу потребителя в точке контроля. В этом случае требования ГОСТа к ПКЭ в точке контроля устанавливаются как безусловные обязательства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организации.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Значение мощности трехфазного короткого замыкания на шинах низкого напряжения подстанции, от которой получает питание потребитель</w:t>
      </w:r>
      <w:proofErr w:type="gramStart"/>
      <w:r w:rsidRPr="009D6975">
        <w:rPr>
          <w:color w:val="000000"/>
          <w:sz w:val="28"/>
          <w:szCs w:val="28"/>
        </w:rPr>
        <w:t xml:space="preserve">, </w:t>
      </w:r>
      <w:r w:rsidR="00BC3782" w:rsidRPr="009D6975">
        <w:rPr>
          <w:color w:val="000000"/>
          <w:position w:val="-12"/>
          <w:sz w:val="28"/>
          <w:szCs w:val="28"/>
          <w:lang w:val="en-US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6" o:title=""/>
          </v:shape>
          <o:OLEObject Type="Embed" ProgID="Equation.DSMT4" ShapeID="_x0000_i1025" DrawAspect="Content" ObjectID="_1458983776" r:id="rId7"/>
        </w:object>
      </w:r>
      <w:r w:rsidRPr="009D6975">
        <w:rPr>
          <w:color w:val="000000"/>
          <w:sz w:val="28"/>
          <w:szCs w:val="28"/>
        </w:rPr>
        <w:t>,</w:t>
      </w:r>
      <w:proofErr w:type="gramEnd"/>
      <w:r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  <w:lang w:val="en-US"/>
        </w:rPr>
        <w:t>a</w:t>
      </w:r>
      <w:r w:rsidRPr="009D6975">
        <w:rPr>
          <w:color w:val="000000"/>
          <w:sz w:val="28"/>
          <w:szCs w:val="28"/>
        </w:rPr>
        <w:t xml:space="preserve"> на шинах высокого напряжения </w:t>
      </w:r>
      <w:r w:rsidR="00BC3782" w:rsidRPr="009D6975">
        <w:rPr>
          <w:color w:val="000000"/>
          <w:position w:val="-12"/>
          <w:sz w:val="28"/>
          <w:szCs w:val="28"/>
          <w:lang w:val="en-US"/>
        </w:rPr>
        <w:object w:dxaOrig="1820" w:dyaOrig="380">
          <v:shape id="_x0000_i1026" type="#_x0000_t75" style="width:90.75pt;height:18.75pt" o:ole="">
            <v:imagedata r:id="rId8" o:title=""/>
          </v:shape>
          <o:OLEObject Type="Embed" ProgID="Equation.DSMT4" ShapeID="_x0000_i1026" DrawAspect="Content" ObjectID="_1458983777" r:id="rId9"/>
        </w:object>
      </w:r>
      <w:r w:rsidRPr="009D6975">
        <w:rPr>
          <w:color w:val="000000"/>
          <w:sz w:val="28"/>
          <w:szCs w:val="28"/>
        </w:rPr>
        <w:t xml:space="preserve">. Разрешенная </w:t>
      </w:r>
      <w:r w:rsidRPr="009D6975">
        <w:rPr>
          <w:color w:val="000000"/>
          <w:sz w:val="28"/>
          <w:szCs w:val="28"/>
        </w:rPr>
        <w:lastRenderedPageBreak/>
        <w:t>(договорная) мощность каждого потребителя</w:t>
      </w:r>
      <w:proofErr w:type="gramStart"/>
      <w:r w:rsidRPr="009D6975">
        <w:rPr>
          <w:color w:val="000000"/>
          <w:sz w:val="28"/>
          <w:szCs w:val="28"/>
        </w:rPr>
        <w:t xml:space="preserve"> </w:t>
      </w:r>
      <w:r w:rsidR="00BC3782" w:rsidRPr="009D6975">
        <w:rPr>
          <w:color w:val="000000"/>
          <w:position w:val="-12"/>
          <w:sz w:val="28"/>
          <w:szCs w:val="28"/>
          <w:lang w:val="en-US"/>
        </w:rPr>
        <w:object w:dxaOrig="1340" w:dyaOrig="380">
          <v:shape id="_x0000_i1027" type="#_x0000_t75" style="width:66.75pt;height:18.75pt" o:ole="">
            <v:imagedata r:id="rId10" o:title=""/>
          </v:shape>
          <o:OLEObject Type="Embed" ProgID="Equation.DSMT4" ShapeID="_x0000_i1027" DrawAspect="Content" ObjectID="_1458983778" r:id="rId11"/>
        </w:object>
      </w:r>
      <w:r w:rsidR="00B261C7" w:rsidRPr="009D6975">
        <w:rPr>
          <w:color w:val="000000"/>
          <w:sz w:val="28"/>
          <w:szCs w:val="28"/>
        </w:rPr>
        <w:t>,</w:t>
      </w:r>
      <w:r w:rsidR="000B1D7D" w:rsidRPr="009D6975">
        <w:rPr>
          <w:color w:val="000000"/>
          <w:position w:val="-12"/>
          <w:sz w:val="28"/>
          <w:szCs w:val="28"/>
          <w:lang w:val="en-US"/>
        </w:rPr>
        <w:object w:dxaOrig="1320" w:dyaOrig="380">
          <v:shape id="_x0000_i1028" type="#_x0000_t75" style="width:66pt;height:18.75pt" o:ole="">
            <v:imagedata r:id="rId12" o:title=""/>
          </v:shape>
          <o:OLEObject Type="Embed" ProgID="Equation.DSMT4" ShapeID="_x0000_i1028" DrawAspect="Content" ObjectID="_1458983779" r:id="rId13"/>
        </w:object>
      </w:r>
      <w:r w:rsidR="00B261C7" w:rsidRPr="009D6975">
        <w:rPr>
          <w:color w:val="000000"/>
          <w:sz w:val="28"/>
          <w:szCs w:val="28"/>
        </w:rPr>
        <w:t>,</w:t>
      </w:r>
      <w:r w:rsidR="000B1D7D" w:rsidRPr="009D6975">
        <w:rPr>
          <w:color w:val="000000"/>
          <w:position w:val="-12"/>
          <w:sz w:val="28"/>
          <w:szCs w:val="28"/>
          <w:lang w:val="en-US"/>
        </w:rPr>
        <w:object w:dxaOrig="1200" w:dyaOrig="360">
          <v:shape id="_x0000_i1029" type="#_x0000_t75" style="width:60pt;height:18pt" o:ole="">
            <v:imagedata r:id="rId14" o:title=""/>
          </v:shape>
          <o:OLEObject Type="Embed" ProgID="Equation.DSMT4" ShapeID="_x0000_i1029" DrawAspect="Content" ObjectID="_1458983780" r:id="rId15"/>
        </w:object>
      </w:r>
      <w:r w:rsidRPr="009D6975">
        <w:rPr>
          <w:color w:val="000000"/>
          <w:sz w:val="28"/>
          <w:szCs w:val="28"/>
        </w:rPr>
        <w:t>.</w:t>
      </w:r>
      <w:proofErr w:type="gramEnd"/>
      <w:r w:rsidRPr="009D6975">
        <w:rPr>
          <w:color w:val="000000"/>
          <w:sz w:val="28"/>
          <w:szCs w:val="28"/>
        </w:rPr>
        <w:t xml:space="preserve"> Пропускная способность сети принимается равной номинальной мощности </w:t>
      </w:r>
      <w:proofErr w:type="gramStart"/>
      <w:r w:rsidRPr="009D6975">
        <w:rPr>
          <w:color w:val="000000"/>
          <w:sz w:val="28"/>
          <w:szCs w:val="28"/>
        </w:rPr>
        <w:t xml:space="preserve">трансформатора </w:t>
      </w:r>
      <w:r w:rsidR="000B1D7D" w:rsidRPr="009D6975">
        <w:rPr>
          <w:color w:val="000000"/>
          <w:position w:val="-12"/>
          <w:sz w:val="28"/>
          <w:szCs w:val="28"/>
        </w:rPr>
        <w:object w:dxaOrig="1500" w:dyaOrig="360">
          <v:shape id="_x0000_i1030" type="#_x0000_t75" style="width:75pt;height:18pt" o:ole="">
            <v:imagedata r:id="rId16" o:title=""/>
          </v:shape>
          <o:OLEObject Type="Embed" ProgID="Equation.DSMT4" ShapeID="_x0000_i1030" DrawAspect="Content" ObjectID="_1458983781" r:id="rId17"/>
        </w:object>
      </w:r>
      <w:r w:rsidR="000B1D7D" w:rsidRPr="009D6975">
        <w:rPr>
          <w:color w:val="000000"/>
          <w:sz w:val="28"/>
          <w:szCs w:val="28"/>
        </w:rPr>
        <w:t>.</w:t>
      </w:r>
      <w:proofErr w:type="gramEnd"/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Перечень ПКЭ, вносимых в договор:</w:t>
      </w:r>
    </w:p>
    <w:p w:rsidR="00A81584" w:rsidRPr="009D6975" w:rsidRDefault="000B1D7D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Отклонения </w:t>
      </w:r>
      <w:proofErr w:type="gramStart"/>
      <w:r w:rsidRPr="009D6975">
        <w:rPr>
          <w:color w:val="000000"/>
          <w:sz w:val="28"/>
          <w:szCs w:val="28"/>
        </w:rPr>
        <w:t xml:space="preserve">напряжения </w:t>
      </w:r>
      <w:r w:rsidRPr="009D6975">
        <w:rPr>
          <w:color w:val="000000"/>
          <w:position w:val="-14"/>
          <w:sz w:val="28"/>
          <w:szCs w:val="28"/>
        </w:rPr>
        <w:object w:dxaOrig="460" w:dyaOrig="380">
          <v:shape id="_x0000_i1031" type="#_x0000_t75" style="width:23.25pt;height:18.75pt" o:ole="">
            <v:imagedata r:id="rId18" o:title=""/>
          </v:shape>
          <o:OLEObject Type="Embed" ProgID="Equation.DSMT4" ShapeID="_x0000_i1031" DrawAspect="Content" ObjectID="_1458983782" r:id="rId19"/>
        </w:object>
      </w:r>
      <w:r w:rsidR="00A81584" w:rsidRPr="009D6975">
        <w:rPr>
          <w:color w:val="000000"/>
          <w:sz w:val="28"/>
          <w:szCs w:val="28"/>
        </w:rPr>
        <w:t>;</w:t>
      </w:r>
      <w:proofErr w:type="gramEnd"/>
    </w:p>
    <w:p w:rsidR="00A81584" w:rsidRPr="009D6975" w:rsidRDefault="000B1D7D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О</w:t>
      </w:r>
      <w:r w:rsidR="00A81584" w:rsidRPr="009D6975">
        <w:rPr>
          <w:color w:val="000000"/>
          <w:sz w:val="28"/>
          <w:szCs w:val="28"/>
        </w:rPr>
        <w:t xml:space="preserve">тклонение частоты </w:t>
      </w:r>
      <w:r w:rsidR="0023259E" w:rsidRPr="009D6975">
        <w:rPr>
          <w:color w:val="000000"/>
          <w:position w:val="-10"/>
          <w:sz w:val="28"/>
          <w:szCs w:val="28"/>
        </w:rPr>
        <w:object w:dxaOrig="340" w:dyaOrig="320">
          <v:shape id="_x0000_i1032" type="#_x0000_t75" style="width:17.25pt;height:15.75pt" o:ole="">
            <v:imagedata r:id="rId20" o:title=""/>
          </v:shape>
          <o:OLEObject Type="Embed" ProgID="Equation.DSMT4" ShapeID="_x0000_i1032" DrawAspect="Content" ObjectID="_1458983783" r:id="rId21"/>
        </w:object>
      </w:r>
    </w:p>
    <w:p w:rsidR="00A81584" w:rsidRPr="009D6975" w:rsidRDefault="000B1D7D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</w:t>
      </w:r>
      <w:r w:rsidR="00A81584" w:rsidRPr="009D6975">
        <w:rPr>
          <w:color w:val="000000"/>
          <w:sz w:val="28"/>
          <w:szCs w:val="28"/>
        </w:rPr>
        <w:t xml:space="preserve">оэффициент </w:t>
      </w:r>
      <w:proofErr w:type="spellStart"/>
      <w:r w:rsidR="00A81584" w:rsidRPr="009D6975">
        <w:rPr>
          <w:color w:val="000000"/>
          <w:sz w:val="28"/>
          <w:szCs w:val="28"/>
        </w:rPr>
        <w:t>несимметрии</w:t>
      </w:r>
      <w:proofErr w:type="spellEnd"/>
      <w:r w:rsidR="00A81584" w:rsidRPr="009D6975">
        <w:rPr>
          <w:color w:val="000000"/>
          <w:sz w:val="28"/>
          <w:szCs w:val="28"/>
        </w:rPr>
        <w:t xml:space="preserve"> напряжения по обратной </w:t>
      </w:r>
      <w:proofErr w:type="gramStart"/>
      <w:r w:rsidR="00A81584" w:rsidRPr="009D6975">
        <w:rPr>
          <w:color w:val="000000"/>
          <w:sz w:val="28"/>
          <w:szCs w:val="28"/>
        </w:rPr>
        <w:t>последовательности</w:t>
      </w:r>
      <w:r w:rsidR="0023259E" w:rsidRPr="009D6975">
        <w:rPr>
          <w:color w:val="000000"/>
          <w:sz w:val="28"/>
          <w:szCs w:val="28"/>
        </w:rPr>
        <w:t xml:space="preserve"> </w:t>
      </w:r>
      <w:r w:rsidR="0023259E" w:rsidRPr="009D6975">
        <w:rPr>
          <w:color w:val="000000"/>
          <w:position w:val="-12"/>
          <w:sz w:val="28"/>
          <w:szCs w:val="28"/>
        </w:rPr>
        <w:object w:dxaOrig="440" w:dyaOrig="360">
          <v:shape id="_x0000_i1033" type="#_x0000_t75" style="width:21.75pt;height:18pt" o:ole="">
            <v:imagedata r:id="rId22" o:title=""/>
          </v:shape>
          <o:OLEObject Type="Embed" ProgID="Equation.DSMT4" ShapeID="_x0000_i1033" DrawAspect="Content" ObjectID="_1458983784" r:id="rId23"/>
        </w:object>
      </w:r>
      <w:r w:rsidR="00A81584" w:rsidRPr="009D6975">
        <w:rPr>
          <w:color w:val="000000"/>
          <w:sz w:val="28"/>
          <w:szCs w:val="28"/>
        </w:rPr>
        <w:t>;</w:t>
      </w:r>
      <w:proofErr w:type="gramEnd"/>
    </w:p>
    <w:p w:rsidR="00A81584" w:rsidRPr="009D6975" w:rsidRDefault="0023259E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</w:t>
      </w:r>
      <w:r w:rsidR="00A81584" w:rsidRPr="009D6975">
        <w:rPr>
          <w:color w:val="000000"/>
          <w:sz w:val="28"/>
          <w:szCs w:val="28"/>
        </w:rPr>
        <w:t xml:space="preserve">оэффициент искажения синусоидальности кривой </w:t>
      </w:r>
      <w:proofErr w:type="gramStart"/>
      <w:r w:rsidR="00A81584" w:rsidRPr="009D6975">
        <w:rPr>
          <w:color w:val="000000"/>
          <w:sz w:val="28"/>
          <w:szCs w:val="28"/>
        </w:rPr>
        <w:t xml:space="preserve">напряжения </w:t>
      </w:r>
      <w:r w:rsidRPr="009D6975">
        <w:rPr>
          <w:color w:val="000000"/>
          <w:position w:val="-12"/>
          <w:sz w:val="28"/>
          <w:szCs w:val="28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DSMT4" ShapeID="_x0000_i1034" DrawAspect="Content" ObjectID="_1458983785" r:id="rId25"/>
        </w:object>
      </w:r>
      <w:r w:rsidRPr="009D6975">
        <w:rPr>
          <w:color w:val="000000"/>
          <w:sz w:val="28"/>
          <w:szCs w:val="28"/>
        </w:rPr>
        <w:t>;</w:t>
      </w:r>
      <w:proofErr w:type="gramEnd"/>
    </w:p>
    <w:p w:rsidR="0023259E" w:rsidRPr="009D6975" w:rsidRDefault="0023259E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</w:t>
      </w:r>
      <w:r w:rsidR="00A81584" w:rsidRPr="009D6975">
        <w:rPr>
          <w:color w:val="000000"/>
          <w:sz w:val="28"/>
          <w:szCs w:val="28"/>
        </w:rPr>
        <w:t xml:space="preserve">оэффициент </w:t>
      </w:r>
      <w:r w:rsidRPr="009D6975">
        <w:rPr>
          <w:color w:val="000000"/>
          <w:sz w:val="28"/>
          <w:szCs w:val="28"/>
          <w:lang w:val="en-US"/>
        </w:rPr>
        <w:t>n</w:t>
      </w:r>
      <w:r w:rsidR="00A81584" w:rsidRPr="009D6975">
        <w:rPr>
          <w:color w:val="000000"/>
          <w:sz w:val="28"/>
          <w:szCs w:val="28"/>
        </w:rPr>
        <w:t>-</w:t>
      </w:r>
      <w:r w:rsidRPr="009D6975">
        <w:rPr>
          <w:color w:val="000000"/>
          <w:sz w:val="28"/>
          <w:szCs w:val="28"/>
        </w:rPr>
        <w:t>о</w:t>
      </w:r>
      <w:r w:rsidR="00A81584" w:rsidRPr="009D6975">
        <w:rPr>
          <w:color w:val="000000"/>
          <w:sz w:val="28"/>
          <w:szCs w:val="28"/>
        </w:rPr>
        <w:t>й гармонической составляющей напряжения</w:t>
      </w:r>
    </w:p>
    <w:p w:rsidR="00A81584" w:rsidRPr="009D6975" w:rsidRDefault="00A81584" w:rsidP="009D6975">
      <w:pPr>
        <w:numPr>
          <w:ilvl w:val="0"/>
          <w:numId w:val="3"/>
        </w:numPr>
        <w:shd w:val="clear" w:color="auto" w:fill="FFFFFF"/>
        <w:tabs>
          <w:tab w:val="clear" w:pos="510"/>
          <w:tab w:val="left" w:pos="360"/>
        </w:tabs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(</w:t>
      </w:r>
      <w:proofErr w:type="gramStart"/>
      <w:r w:rsidR="0023259E" w:rsidRPr="009D6975">
        <w:rPr>
          <w:color w:val="000000"/>
          <w:sz w:val="28"/>
          <w:szCs w:val="28"/>
          <w:lang w:val="en-US"/>
        </w:rPr>
        <w:t>n</w:t>
      </w:r>
      <w:proofErr w:type="gramEnd"/>
      <w:r w:rsidRPr="009D6975">
        <w:rPr>
          <w:color w:val="000000"/>
          <w:sz w:val="28"/>
          <w:szCs w:val="28"/>
        </w:rPr>
        <w:t xml:space="preserve"> = 1-15)</w:t>
      </w:r>
      <w:r w:rsidR="0023259E" w:rsidRPr="009D6975">
        <w:rPr>
          <w:color w:val="000000"/>
          <w:sz w:val="28"/>
          <w:szCs w:val="28"/>
        </w:rPr>
        <w:t xml:space="preserve"> </w:t>
      </w:r>
      <w:r w:rsidR="0023259E" w:rsidRPr="009D6975">
        <w:rPr>
          <w:color w:val="000000"/>
          <w:position w:val="-14"/>
          <w:sz w:val="28"/>
          <w:szCs w:val="28"/>
        </w:rPr>
        <w:object w:dxaOrig="560" w:dyaOrig="380">
          <v:shape id="_x0000_i1035" type="#_x0000_t75" style="width:27.75pt;height:18.75pt" o:ole="">
            <v:imagedata r:id="rId26" o:title=""/>
          </v:shape>
          <o:OLEObject Type="Embed" ProgID="Equation.DSMT4" ShapeID="_x0000_i1035" DrawAspect="Content" ObjectID="_1458983786" r:id="rId27"/>
        </w:object>
      </w:r>
      <w:r w:rsidRPr="009D6975">
        <w:rPr>
          <w:color w:val="000000"/>
          <w:sz w:val="28"/>
          <w:szCs w:val="28"/>
        </w:rPr>
        <w:t>.</w:t>
      </w:r>
    </w:p>
    <w:p w:rsidR="00A81584" w:rsidRPr="009D6975" w:rsidRDefault="00A81584" w:rsidP="009D697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Потребителями являются муниципальные предприятия электрических сетей. Основная нагрузка предприятий — коммунально-бытовой сектор.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>Требуемые значения установившихся отклонений напря</w:t>
      </w:r>
      <w:r w:rsidR="009823EC">
        <w:rPr>
          <w:color w:val="000000"/>
          <w:sz w:val="28"/>
          <w:szCs w:val="28"/>
        </w:rPr>
        <w:t>жения в ТХ рассчитываются по</w:t>
      </w:r>
      <w:r w:rsidRPr="009D6975">
        <w:rPr>
          <w:color w:val="000000"/>
          <w:sz w:val="28"/>
          <w:szCs w:val="28"/>
        </w:rPr>
        <w:t xml:space="preserve">, исходя из условий, при </w:t>
      </w:r>
      <w:proofErr w:type="gramStart"/>
      <w:r w:rsidRPr="009D6975">
        <w:rPr>
          <w:color w:val="000000"/>
          <w:sz w:val="28"/>
          <w:szCs w:val="28"/>
        </w:rPr>
        <w:t xml:space="preserve">которых </w:t>
      </w:r>
      <w:r w:rsidR="0023259E" w:rsidRPr="009D6975">
        <w:rPr>
          <w:color w:val="000000"/>
          <w:position w:val="-14"/>
          <w:sz w:val="28"/>
          <w:szCs w:val="28"/>
        </w:rPr>
        <w:object w:dxaOrig="1880" w:dyaOrig="380">
          <v:shape id="_x0000_i1036" type="#_x0000_t75" style="width:93.75pt;height:18.75pt" o:ole="">
            <v:imagedata r:id="rId28" o:title=""/>
          </v:shape>
          <o:OLEObject Type="Embed" ProgID="Equation.DSMT4" ShapeID="_x0000_i1036" DrawAspect="Content" ObjectID="_1458983787" r:id="rId29"/>
        </w:object>
      </w:r>
      <w:r w:rsidRPr="009D6975">
        <w:rPr>
          <w:color w:val="000000"/>
          <w:sz w:val="28"/>
          <w:szCs w:val="28"/>
        </w:rPr>
        <w:t xml:space="preserve"> на</w:t>
      </w:r>
      <w:proofErr w:type="gramEnd"/>
      <w:r w:rsidRPr="009D6975">
        <w:rPr>
          <w:color w:val="000000"/>
          <w:sz w:val="28"/>
          <w:szCs w:val="28"/>
        </w:rPr>
        <w:t xml:space="preserve"> зажимах всех </w:t>
      </w:r>
      <w:proofErr w:type="spellStart"/>
      <w:r w:rsidRPr="009D6975">
        <w:rPr>
          <w:color w:val="000000"/>
          <w:sz w:val="28"/>
          <w:szCs w:val="28"/>
        </w:rPr>
        <w:t>электроприемников</w:t>
      </w:r>
      <w:proofErr w:type="spellEnd"/>
      <w:r w:rsidRPr="009D6975">
        <w:rPr>
          <w:color w:val="000000"/>
          <w:sz w:val="28"/>
          <w:szCs w:val="28"/>
        </w:rPr>
        <w:t xml:space="preserve"> во всех режимах нагрузки. При этом предельно </w:t>
      </w:r>
      <w:proofErr w:type="gramStart"/>
      <w:r w:rsidRPr="009D6975">
        <w:rPr>
          <w:color w:val="000000"/>
          <w:sz w:val="28"/>
          <w:szCs w:val="28"/>
        </w:rPr>
        <w:t xml:space="preserve">допустимы </w:t>
      </w:r>
      <w:r w:rsidR="0023259E" w:rsidRPr="009D6975">
        <w:rPr>
          <w:color w:val="000000"/>
          <w:position w:val="-14"/>
          <w:sz w:val="28"/>
          <w:szCs w:val="28"/>
        </w:rPr>
        <w:object w:dxaOrig="2120" w:dyaOrig="380">
          <v:shape id="_x0000_i1037" type="#_x0000_t75" style="width:105.75pt;height:18.75pt" o:ole="">
            <v:imagedata r:id="rId30" o:title=""/>
          </v:shape>
          <o:OLEObject Type="Embed" ProgID="Equation.DSMT4" ShapeID="_x0000_i1037" DrawAspect="Content" ObjectID="_1458983788" r:id="rId31"/>
        </w:object>
      </w:r>
      <w:r w:rsidR="00576121" w:rsidRPr="009D6975">
        <w:rPr>
          <w:color w:val="000000"/>
          <w:sz w:val="28"/>
          <w:szCs w:val="28"/>
        </w:rPr>
        <w:t>.</w:t>
      </w:r>
      <w:proofErr w:type="gramEnd"/>
      <w:r w:rsidRPr="009D6975">
        <w:rPr>
          <w:color w:val="000000"/>
          <w:sz w:val="28"/>
          <w:szCs w:val="28"/>
        </w:rPr>
        <w:t xml:space="preserve"> Необходимые для этого значения потерь напряжения в сети 10 и 0,4 </w:t>
      </w:r>
      <w:proofErr w:type="spellStart"/>
      <w:r w:rsidRPr="009D6975">
        <w:rPr>
          <w:color w:val="000000"/>
          <w:sz w:val="28"/>
          <w:szCs w:val="28"/>
        </w:rPr>
        <w:t>кВ</w:t>
      </w:r>
      <w:proofErr w:type="spellEnd"/>
      <w:r w:rsidRPr="009D6975">
        <w:rPr>
          <w:color w:val="000000"/>
          <w:sz w:val="28"/>
          <w:szCs w:val="28"/>
        </w:rPr>
        <w:t xml:space="preserve"> рассчитываются для наиболее удаленных и близлежащих по отношению к каждой подстанции </w:t>
      </w:r>
      <w:proofErr w:type="spellStart"/>
      <w:r w:rsidRPr="009D6975">
        <w:rPr>
          <w:color w:val="000000"/>
          <w:sz w:val="28"/>
          <w:szCs w:val="28"/>
        </w:rPr>
        <w:t>электроприемников</w:t>
      </w:r>
      <w:proofErr w:type="spellEnd"/>
      <w:r w:rsidRPr="009D6975">
        <w:rPr>
          <w:color w:val="000000"/>
          <w:sz w:val="28"/>
          <w:szCs w:val="28"/>
        </w:rPr>
        <w:t xml:space="preserve">. 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Рассчитанные отклонения напряжения должны поддерживаться ЭСО в одностороннем порядке. Невыполнение этих требований возмещается неустойкой, возлагаемой на ЭСО.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Отклонение </w:t>
      </w:r>
      <w:proofErr w:type="gramStart"/>
      <w:r w:rsidRPr="009D6975">
        <w:rPr>
          <w:color w:val="000000"/>
          <w:sz w:val="28"/>
          <w:szCs w:val="28"/>
        </w:rPr>
        <w:t xml:space="preserve">частоты </w:t>
      </w:r>
      <w:r w:rsidR="0023259E" w:rsidRPr="009D6975">
        <w:rPr>
          <w:color w:val="000000"/>
          <w:position w:val="-10"/>
          <w:sz w:val="28"/>
          <w:szCs w:val="28"/>
        </w:rPr>
        <w:object w:dxaOrig="340" w:dyaOrig="320">
          <v:shape id="_x0000_i1038" type="#_x0000_t75" style="width:17.25pt;height:15.75pt" o:ole="">
            <v:imagedata r:id="rId32" o:title=""/>
          </v:shape>
          <o:OLEObject Type="Embed" ProgID="Equation.DSMT4" ShapeID="_x0000_i1038" DrawAspect="Content" ObjectID="_1458983789" r:id="rId33"/>
        </w:object>
      </w:r>
      <w:r w:rsidR="00576121"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должно</w:t>
      </w:r>
      <w:proofErr w:type="gramEnd"/>
      <w:r w:rsidR="00AD0D6E" w:rsidRPr="009D6975">
        <w:rPr>
          <w:color w:val="000000"/>
          <w:sz w:val="28"/>
          <w:szCs w:val="28"/>
        </w:rPr>
        <w:t xml:space="preserve"> поддерживаться ЭСО в пределах </w:t>
      </w:r>
      <w:r w:rsidR="00AD0D6E" w:rsidRPr="009D6975">
        <w:rPr>
          <w:color w:val="000000"/>
          <w:position w:val="-10"/>
          <w:sz w:val="28"/>
          <w:szCs w:val="28"/>
        </w:rPr>
        <w:object w:dxaOrig="2240" w:dyaOrig="320">
          <v:shape id="_x0000_i1039" type="#_x0000_t75" style="width:111.75pt;height:15.75pt" o:ole="">
            <v:imagedata r:id="rId34" o:title=""/>
          </v:shape>
          <o:OLEObject Type="Embed" ProgID="Equation.DSMT4" ShapeID="_x0000_i1039" DrawAspect="Content" ObjectID="_1458983790" r:id="rId35"/>
        </w:object>
      </w:r>
      <w:r w:rsidRPr="009D6975">
        <w:rPr>
          <w:color w:val="000000"/>
          <w:sz w:val="28"/>
          <w:szCs w:val="28"/>
        </w:rPr>
        <w:t xml:space="preserve"> как нормально до</w:t>
      </w:r>
      <w:r w:rsidR="00AD0D6E" w:rsidRPr="009D6975">
        <w:rPr>
          <w:color w:val="000000"/>
          <w:sz w:val="28"/>
          <w:szCs w:val="28"/>
        </w:rPr>
        <w:t xml:space="preserve">пустимые и не превышать </w:t>
      </w:r>
      <w:r w:rsidR="00AD0D6E" w:rsidRPr="009D6975">
        <w:rPr>
          <w:color w:val="000000"/>
          <w:position w:val="-10"/>
          <w:sz w:val="28"/>
          <w:szCs w:val="28"/>
        </w:rPr>
        <w:object w:dxaOrig="2260" w:dyaOrig="320">
          <v:shape id="_x0000_i1040" type="#_x0000_t75" style="width:113.25pt;height:15.75pt" o:ole="">
            <v:imagedata r:id="rId36" o:title=""/>
          </v:shape>
          <o:OLEObject Type="Embed" ProgID="Equation.DSMT4" ShapeID="_x0000_i1040" DrawAspect="Content" ObjectID="_1458983791" r:id="rId37"/>
        </w:object>
      </w:r>
      <w:r w:rsidRPr="009D6975">
        <w:rPr>
          <w:color w:val="000000"/>
          <w:sz w:val="28"/>
          <w:szCs w:val="28"/>
        </w:rPr>
        <w:t>. Невыполнение этих требований также возмещается неустойкой, возлагаемой на ЭСО.</w:t>
      </w: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9823EC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</w:p>
    <w:p w:rsidR="00A81584" w:rsidRPr="009D6975" w:rsidRDefault="009823EC" w:rsidP="009D697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 w:rsidR="00A81584" w:rsidRPr="009D6975">
        <w:rPr>
          <w:b/>
          <w:bCs/>
          <w:color w:val="000000"/>
          <w:sz w:val="28"/>
          <w:szCs w:val="28"/>
        </w:rPr>
        <w:t xml:space="preserve">Допустимые </w:t>
      </w:r>
      <w:r w:rsidR="00A81584" w:rsidRPr="009D6975">
        <w:rPr>
          <w:b/>
          <w:bCs/>
          <w:iCs/>
          <w:color w:val="000000"/>
          <w:sz w:val="28"/>
          <w:szCs w:val="28"/>
        </w:rPr>
        <w:t>вклады.</w:t>
      </w:r>
    </w:p>
    <w:p w:rsidR="00A81584" w:rsidRPr="009D6975" w:rsidRDefault="00576121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Cs/>
          <w:color w:val="000000"/>
          <w:sz w:val="28"/>
          <w:szCs w:val="28"/>
        </w:rPr>
        <w:t>В</w:t>
      </w:r>
      <w:r w:rsidR="00A81584" w:rsidRPr="009D6975">
        <w:rPr>
          <w:b/>
          <w:bCs/>
          <w:color w:val="000000"/>
          <w:sz w:val="28"/>
          <w:szCs w:val="28"/>
        </w:rPr>
        <w:t xml:space="preserve"> </w:t>
      </w:r>
      <w:r w:rsidR="009823EC">
        <w:rPr>
          <w:color w:val="000000"/>
          <w:sz w:val="28"/>
          <w:szCs w:val="28"/>
        </w:rPr>
        <w:t>соответствии с методикой</w:t>
      </w:r>
      <w:r w:rsidR="00A81584" w:rsidRPr="009D6975">
        <w:rPr>
          <w:color w:val="000000"/>
          <w:sz w:val="28"/>
          <w:szCs w:val="28"/>
        </w:rPr>
        <w:t xml:space="preserve"> допустимый вклад каждого потребителя определяется из выражения:</w:t>
      </w:r>
    </w:p>
    <w:p w:rsidR="00576121" w:rsidRPr="009D6975" w:rsidRDefault="00576121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position w:val="-12"/>
          <w:sz w:val="28"/>
          <w:szCs w:val="28"/>
        </w:rPr>
        <w:object w:dxaOrig="2320" w:dyaOrig="460">
          <v:shape id="_x0000_i1041" type="#_x0000_t75" style="width:116.25pt;height:23.25pt" o:ole="">
            <v:imagedata r:id="rId38" o:title=""/>
          </v:shape>
          <o:OLEObject Type="Embed" ProgID="Equation.DSMT4" ShapeID="_x0000_i1041" DrawAspect="Content" ObjectID="_1458983792" r:id="rId39"/>
        </w:objec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где</w:t>
      </w:r>
      <w:r w:rsidR="00576121" w:rsidRPr="009D6975">
        <w:rPr>
          <w:color w:val="000000"/>
          <w:position w:val="-12"/>
          <w:sz w:val="28"/>
          <w:szCs w:val="28"/>
        </w:rPr>
        <w:object w:dxaOrig="340" w:dyaOrig="360">
          <v:shape id="_x0000_i1042" type="#_x0000_t75" style="width:17.25pt;height:18pt" o:ole="">
            <v:imagedata r:id="rId40" o:title=""/>
          </v:shape>
          <o:OLEObject Type="Embed" ProgID="Equation.DSMT4" ShapeID="_x0000_i1042" DrawAspect="Content" ObjectID="_1458983793" r:id="rId41"/>
        </w:object>
      </w:r>
      <w:r w:rsidR="00576121" w:rsidRPr="009D6975">
        <w:rPr>
          <w:color w:val="000000"/>
          <w:sz w:val="28"/>
          <w:szCs w:val="28"/>
        </w:rPr>
        <w:t xml:space="preserve"> -</w:t>
      </w:r>
      <w:r w:rsidRPr="009D6975">
        <w:rPr>
          <w:color w:val="000000"/>
          <w:sz w:val="28"/>
          <w:szCs w:val="28"/>
        </w:rPr>
        <w:t xml:space="preserve"> нормально или предельно допустимое значение ПКЭ для рассматриваемой сети, </w:t>
      </w:r>
      <w:r w:rsidR="00576121" w:rsidRPr="009D6975">
        <w:rPr>
          <w:color w:val="000000"/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42" o:title=""/>
          </v:shape>
          <o:OLEObject Type="Embed" ProgID="Equation.DSMT4" ShapeID="_x0000_i1043" DrawAspect="Content" ObjectID="_1458983794" r:id="rId43"/>
        </w:object>
      </w:r>
      <w:r w:rsidRPr="009D6975">
        <w:rPr>
          <w:color w:val="000000"/>
          <w:sz w:val="28"/>
          <w:szCs w:val="28"/>
        </w:rPr>
        <w:t xml:space="preserve"> </w:t>
      </w:r>
      <w:r w:rsidR="00576121" w:rsidRPr="009D6975">
        <w:rPr>
          <w:color w:val="000000"/>
          <w:sz w:val="28"/>
          <w:szCs w:val="28"/>
        </w:rPr>
        <w:t>-</w:t>
      </w:r>
      <w:r w:rsidRPr="009D6975">
        <w:rPr>
          <w:color w:val="000000"/>
          <w:sz w:val="28"/>
          <w:szCs w:val="28"/>
        </w:rPr>
        <w:t xml:space="preserve"> показатель, численные значения которого зависят от вида искажений и порядка их суммирования в ТК, </w:t>
      </w:r>
      <w:r w:rsidR="00576121" w:rsidRPr="009D6975">
        <w:rPr>
          <w:color w:val="000000"/>
          <w:position w:val="-12"/>
          <w:sz w:val="28"/>
          <w:szCs w:val="28"/>
        </w:rPr>
        <w:object w:dxaOrig="279" w:dyaOrig="360">
          <v:shape id="_x0000_i1044" type="#_x0000_t75" style="width:14.25pt;height:18pt" o:ole="">
            <v:imagedata r:id="rId44" o:title=""/>
          </v:shape>
          <o:OLEObject Type="Embed" ProgID="Equation.DSMT4" ShapeID="_x0000_i1044" DrawAspect="Content" ObjectID="_1458983795" r:id="rId45"/>
        </w:object>
      </w:r>
      <w:r w:rsidRPr="009D6975">
        <w:rPr>
          <w:color w:val="000000"/>
          <w:sz w:val="28"/>
          <w:szCs w:val="28"/>
        </w:rPr>
        <w:t xml:space="preserve"> </w:t>
      </w:r>
      <w:r w:rsidR="00576121" w:rsidRPr="009D6975">
        <w:rPr>
          <w:color w:val="000000"/>
          <w:sz w:val="28"/>
          <w:szCs w:val="28"/>
        </w:rPr>
        <w:t>-</w:t>
      </w:r>
      <w:r w:rsidRPr="009D6975">
        <w:rPr>
          <w:color w:val="000000"/>
          <w:sz w:val="28"/>
          <w:szCs w:val="28"/>
        </w:rPr>
        <w:t xml:space="preserve"> отношение разрешенной мощности рассматриваемого потребителя к пропускной способности сети в точке кон</w:t>
      </w:r>
      <w:r w:rsidR="00D144AE" w:rsidRPr="009D6975">
        <w:rPr>
          <w:color w:val="000000"/>
          <w:sz w:val="28"/>
          <w:szCs w:val="28"/>
        </w:rPr>
        <w:t>троля,</w:t>
      </w:r>
      <w:r w:rsidRPr="009D6975">
        <w:rPr>
          <w:color w:val="000000"/>
          <w:sz w:val="28"/>
          <w:szCs w:val="28"/>
        </w:rPr>
        <w:t xml:space="preserve"> </w:t>
      </w:r>
      <w:r w:rsidR="00D144AE" w:rsidRPr="009D6975">
        <w:rPr>
          <w:color w:val="000000"/>
          <w:position w:val="-12"/>
          <w:sz w:val="28"/>
          <w:szCs w:val="28"/>
        </w:rPr>
        <w:object w:dxaOrig="400" w:dyaOrig="360">
          <v:shape id="_x0000_i1045" type="#_x0000_t75" style="width:20.25pt;height:18pt" o:ole="">
            <v:imagedata r:id="rId46" o:title=""/>
          </v:shape>
          <o:OLEObject Type="Embed" ProgID="Equation.DSMT4" ShapeID="_x0000_i1045" DrawAspect="Content" ObjectID="_1458983796" r:id="rId47"/>
        </w:object>
      </w:r>
      <w:r w:rsidR="00D144AE" w:rsidRPr="009D6975">
        <w:rPr>
          <w:color w:val="000000"/>
          <w:sz w:val="28"/>
          <w:szCs w:val="28"/>
        </w:rPr>
        <w:t xml:space="preserve"> -</w:t>
      </w:r>
      <w:r w:rsidRPr="009D6975">
        <w:rPr>
          <w:color w:val="000000"/>
          <w:sz w:val="28"/>
          <w:szCs w:val="28"/>
        </w:rPr>
        <w:t xml:space="preserve"> доля нормированного значения ПКЭ, относимая на допустимый суммарный вклад потребителей, питающихся от рассматриваемой точки.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Для заданных </w:t>
      </w:r>
      <w:proofErr w:type="gramStart"/>
      <w:r w:rsidRPr="009D6975">
        <w:rPr>
          <w:color w:val="000000"/>
          <w:sz w:val="28"/>
          <w:szCs w:val="28"/>
        </w:rPr>
        <w:t xml:space="preserve">показателей </w:t>
      </w:r>
      <w:r w:rsidR="00D144AE" w:rsidRPr="009D6975">
        <w:rPr>
          <w:color w:val="000000"/>
          <w:position w:val="-12"/>
          <w:sz w:val="28"/>
          <w:szCs w:val="28"/>
        </w:rPr>
        <w:object w:dxaOrig="279" w:dyaOrig="360">
          <v:shape id="_x0000_i1046" type="#_x0000_t75" style="width:14.25pt;height:18pt" o:ole="">
            <v:imagedata r:id="rId44" o:title=""/>
          </v:shape>
          <o:OLEObject Type="Embed" ProgID="Equation.DSMT4" ShapeID="_x0000_i1046" DrawAspect="Content" ObjectID="_1458983797" r:id="rId48"/>
        </w:object>
      </w:r>
      <w:r w:rsidR="00D144AE"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и</w:t>
      </w:r>
      <w:proofErr w:type="gramEnd"/>
      <w:r w:rsidRPr="009D6975">
        <w:rPr>
          <w:color w:val="000000"/>
          <w:sz w:val="28"/>
          <w:szCs w:val="28"/>
        </w:rPr>
        <w:t xml:space="preserve"> </w:t>
      </w:r>
      <w:r w:rsidR="00D144AE" w:rsidRPr="009D6975">
        <w:rPr>
          <w:color w:val="000000"/>
          <w:sz w:val="28"/>
          <w:szCs w:val="28"/>
        </w:rPr>
        <w:t xml:space="preserve"> </w:t>
      </w:r>
      <w:r w:rsidR="00D144AE" w:rsidRPr="009D6975">
        <w:rPr>
          <w:color w:val="000000"/>
          <w:position w:val="-12"/>
          <w:sz w:val="28"/>
          <w:szCs w:val="28"/>
        </w:rPr>
        <w:object w:dxaOrig="400" w:dyaOrig="360">
          <v:shape id="_x0000_i1047" type="#_x0000_t75" style="width:20.25pt;height:18pt" o:ole="">
            <v:imagedata r:id="rId46" o:title=""/>
          </v:shape>
          <o:OLEObject Type="Embed" ProgID="Equation.DSMT4" ShapeID="_x0000_i1047" DrawAspect="Content" ObjectID="_1458983798" r:id="rId49"/>
        </w:object>
      </w:r>
      <w:r w:rsidR="00D144AE" w:rsidRPr="009D6975">
        <w:rPr>
          <w:color w:val="000000"/>
          <w:sz w:val="28"/>
          <w:szCs w:val="28"/>
        </w:rPr>
        <w:t xml:space="preserve"> </w:t>
      </w:r>
      <w:r w:rsidRPr="009D6975">
        <w:rPr>
          <w:color w:val="000000"/>
          <w:sz w:val="28"/>
          <w:szCs w:val="28"/>
        </w:rPr>
        <w:t>рассчитываются по выражениям:</w:t>
      </w:r>
    </w:p>
    <w:p w:rsidR="00A81584" w:rsidRPr="009D6975" w:rsidRDefault="00D144AE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position w:val="-52"/>
          <w:sz w:val="28"/>
          <w:szCs w:val="28"/>
        </w:rPr>
        <w:object w:dxaOrig="1780" w:dyaOrig="900">
          <v:shape id="_x0000_i1048" type="#_x0000_t75" style="width:89.25pt;height:45pt" o:ole="">
            <v:imagedata r:id="rId50" o:title=""/>
          </v:shape>
          <o:OLEObject Type="Embed" ProgID="Equation.DSMT4" ShapeID="_x0000_i1048" DrawAspect="Content" ObjectID="_1458983799" r:id="rId51"/>
        </w:object>
      </w:r>
      <w:r w:rsidRPr="009D6975">
        <w:rPr>
          <w:sz w:val="28"/>
          <w:szCs w:val="28"/>
        </w:rPr>
        <w:t xml:space="preserve">,  </w:t>
      </w:r>
      <w:r w:rsidRPr="009D6975">
        <w:rPr>
          <w:position w:val="-30"/>
          <w:sz w:val="28"/>
          <w:szCs w:val="28"/>
        </w:rPr>
        <w:object w:dxaOrig="1020" w:dyaOrig="680">
          <v:shape id="_x0000_i1049" type="#_x0000_t75" style="width:51pt;height:33.75pt" o:ole="">
            <v:imagedata r:id="rId52" o:title=""/>
          </v:shape>
          <o:OLEObject Type="Embed" ProgID="Equation.DSMT4" ShapeID="_x0000_i1049" DrawAspect="Content" ObjectID="_1458983800" r:id="rId53"/>
        </w:objec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С учетом исходных данных получаем</w:t>
      </w:r>
    </w:p>
    <w:p w:rsidR="00A81584" w:rsidRPr="009D6975" w:rsidRDefault="00D144AE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position w:val="-44"/>
          <w:sz w:val="28"/>
          <w:szCs w:val="28"/>
        </w:rPr>
        <w:object w:dxaOrig="2700" w:dyaOrig="820">
          <v:shape id="_x0000_i1050" type="#_x0000_t75" style="width:135pt;height:41.25pt" o:ole="">
            <v:imagedata r:id="rId54" o:title=""/>
          </v:shape>
          <o:OLEObject Type="Embed" ProgID="Equation.DSMT4" ShapeID="_x0000_i1050" DrawAspect="Content" ObjectID="_1458983801" r:id="rId55"/>
        </w:object>
      </w:r>
      <w:r w:rsidRPr="009D6975">
        <w:rPr>
          <w:color w:val="000000"/>
          <w:sz w:val="28"/>
          <w:szCs w:val="28"/>
        </w:rPr>
        <w:t xml:space="preserve">, </w:t>
      </w:r>
      <w:r w:rsidR="00A81584" w:rsidRPr="009D6975">
        <w:rPr>
          <w:color w:val="000000"/>
          <w:sz w:val="28"/>
          <w:szCs w:val="28"/>
        </w:rPr>
        <w:t xml:space="preserve">а </w:t>
      </w:r>
      <w:proofErr w:type="gramStart"/>
      <w:r w:rsidR="00A81584" w:rsidRPr="009D6975">
        <w:rPr>
          <w:color w:val="000000"/>
          <w:sz w:val="28"/>
          <w:szCs w:val="28"/>
        </w:rPr>
        <w:t xml:space="preserve">значения </w:t>
      </w:r>
      <w:r w:rsidRPr="009D6975">
        <w:rPr>
          <w:color w:val="000000"/>
          <w:position w:val="-12"/>
          <w:sz w:val="28"/>
          <w:szCs w:val="28"/>
        </w:rPr>
        <w:object w:dxaOrig="279" w:dyaOrig="360">
          <v:shape id="_x0000_i1051" type="#_x0000_t75" style="width:14.25pt;height:18pt" o:ole="">
            <v:imagedata r:id="rId44" o:title=""/>
          </v:shape>
          <o:OLEObject Type="Embed" ProgID="Equation.DSMT4" ShapeID="_x0000_i1051" DrawAspect="Content" ObjectID="_1458983802" r:id="rId56"/>
        </w:object>
      </w:r>
      <w:r w:rsidRPr="009D6975">
        <w:rPr>
          <w:color w:val="000000"/>
          <w:sz w:val="28"/>
          <w:szCs w:val="28"/>
        </w:rPr>
        <w:t xml:space="preserve"> </w:t>
      </w:r>
      <w:r w:rsidR="00A81584" w:rsidRPr="009D6975">
        <w:rPr>
          <w:color w:val="000000"/>
          <w:sz w:val="28"/>
          <w:szCs w:val="28"/>
        </w:rPr>
        <w:t>приве</w:t>
      </w:r>
      <w:r w:rsidRPr="009D6975">
        <w:rPr>
          <w:color w:val="000000"/>
          <w:sz w:val="28"/>
          <w:szCs w:val="28"/>
        </w:rPr>
        <w:t>дены</w:t>
      </w:r>
      <w:proofErr w:type="gramEnd"/>
      <w:r w:rsidRPr="009D6975">
        <w:rPr>
          <w:color w:val="000000"/>
          <w:sz w:val="28"/>
          <w:szCs w:val="28"/>
        </w:rPr>
        <w:t xml:space="preserve"> в табл.1.</w:t>
      </w:r>
    </w:p>
    <w:p w:rsidR="004E05AC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 </w:t>
      </w:r>
      <w:proofErr w:type="gramStart"/>
      <w:r w:rsidRPr="009D6975">
        <w:rPr>
          <w:color w:val="000000"/>
          <w:sz w:val="28"/>
          <w:szCs w:val="28"/>
        </w:rPr>
        <w:t>принимаем</w:t>
      </w:r>
      <w:proofErr w:type="gramEnd"/>
      <w:r w:rsidRPr="009D6975">
        <w:rPr>
          <w:color w:val="000000"/>
          <w:sz w:val="28"/>
          <w:szCs w:val="28"/>
        </w:rPr>
        <w:t xml:space="preserve"> следующие значения показателя </w:t>
      </w:r>
      <w:r w:rsidR="00671BAB" w:rsidRPr="009D6975">
        <w:rPr>
          <w:color w:val="000000"/>
          <w:position w:val="-6"/>
          <w:sz w:val="28"/>
          <w:szCs w:val="28"/>
        </w:rPr>
        <w:object w:dxaOrig="200" w:dyaOrig="220">
          <v:shape id="_x0000_i1052" type="#_x0000_t75" style="width:9.75pt;height:11.25pt" o:ole="">
            <v:imagedata r:id="rId42" o:title=""/>
          </v:shape>
          <o:OLEObject Type="Embed" ProgID="Equation.DSMT4" ShapeID="_x0000_i1052" DrawAspect="Content" ObjectID="_1458983803" r:id="rId57"/>
        </w:object>
      </w:r>
      <w:r w:rsidR="00671BAB" w:rsidRPr="009D6975">
        <w:rPr>
          <w:color w:val="000000"/>
          <w:sz w:val="28"/>
          <w:szCs w:val="28"/>
        </w:rPr>
        <w:t>:</w:t>
      </w:r>
    </w:p>
    <w:p w:rsidR="00671BAB" w:rsidRPr="009D6975" w:rsidRDefault="00671BAB" w:rsidP="009D6975">
      <w:pPr>
        <w:spacing w:line="360" w:lineRule="auto"/>
        <w:ind w:left="-284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936"/>
      </w:tblGrid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2"/>
                <w:sz w:val="28"/>
                <w:szCs w:val="28"/>
              </w:rPr>
              <w:object w:dxaOrig="460" w:dyaOrig="360">
                <v:shape id="_x0000_i1053" type="#_x0000_t75" style="width:23.25pt;height:18pt" o:ole="">
                  <v:imagedata r:id="rId58" o:title=""/>
                </v:shape>
                <o:OLEObject Type="Embed" ProgID="Equation.DSMT4" ShapeID="_x0000_i1053" DrawAspect="Content" ObjectID="_1458983804" r:id="rId59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560" w:dyaOrig="279">
                <v:shape id="_x0000_i1054" type="#_x0000_t75" style="width:27.75pt;height:14.25pt" o:ole="">
                  <v:imagedata r:id="rId60" o:title=""/>
                </v:shape>
                <o:OLEObject Type="Embed" ProgID="Equation.DSMT4" ShapeID="_x0000_i1054" DrawAspect="Content" ObjectID="_1458983805" r:id="rId61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4"/>
                <w:sz w:val="28"/>
                <w:szCs w:val="28"/>
              </w:rPr>
              <w:object w:dxaOrig="780" w:dyaOrig="380">
                <v:shape id="_x0000_i1055" type="#_x0000_t75" style="width:39pt;height:18.75pt" o:ole="">
                  <v:imagedata r:id="rId62" o:title=""/>
                </v:shape>
                <o:OLEObject Type="Embed" ProgID="Equation.DSMT4" ShapeID="_x0000_i1055" DrawAspect="Content" ObjectID="_1458983806" r:id="rId63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520" w:dyaOrig="279">
                <v:shape id="_x0000_i1056" type="#_x0000_t75" style="width:26.25pt;height:14.25pt" o:ole="">
                  <v:imagedata r:id="rId64" o:title=""/>
                </v:shape>
                <o:OLEObject Type="Embed" ProgID="Equation.DSMT4" ShapeID="_x0000_i1056" DrawAspect="Content" ObjectID="_1458983807" r:id="rId65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4"/>
                <w:sz w:val="28"/>
                <w:szCs w:val="28"/>
              </w:rPr>
              <w:object w:dxaOrig="560" w:dyaOrig="380">
                <v:shape id="_x0000_i1057" type="#_x0000_t75" style="width:27.75pt;height:18.75pt" o:ole="">
                  <v:imagedata r:id="rId66" o:title=""/>
                </v:shape>
                <o:OLEObject Type="Embed" ProgID="Equation.DSMT4" ShapeID="_x0000_i1057" DrawAspect="Content" ObjectID="_1458983808" r:id="rId67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560" w:dyaOrig="279">
                <v:shape id="_x0000_i1058" type="#_x0000_t75" style="width:27.75pt;height:14.25pt" o:ole="">
                  <v:imagedata r:id="rId60" o:title=""/>
                </v:shape>
                <o:OLEObject Type="Embed" ProgID="Equation.DSMT4" ShapeID="_x0000_i1058" DrawAspect="Content" ObjectID="_1458983809" r:id="rId68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2"/>
                <w:sz w:val="28"/>
                <w:szCs w:val="28"/>
              </w:rPr>
              <w:object w:dxaOrig="380" w:dyaOrig="360">
                <v:shape id="_x0000_i1059" type="#_x0000_t75" style="width:18.75pt;height:18pt" o:ole="">
                  <v:imagedata r:id="rId69" o:title=""/>
                </v:shape>
                <o:OLEObject Type="Embed" ProgID="Equation.DSMT4" ShapeID="_x0000_i1059" DrawAspect="Content" ObjectID="_1458983810" r:id="rId70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720" w:dyaOrig="279">
                <v:shape id="_x0000_i1060" type="#_x0000_t75" style="width:36pt;height:14.25pt" o:ole="">
                  <v:imagedata r:id="rId71" o:title=""/>
                </v:shape>
                <o:OLEObject Type="Embed" ProgID="Equation.DSMT4" ShapeID="_x0000_i1060" DrawAspect="Content" ObjectID="_1458983811" r:id="rId72"/>
              </w:object>
            </w:r>
          </w:p>
        </w:tc>
      </w:tr>
      <w:tr w:rsidR="00B575CC" w:rsidRPr="009D6975">
        <w:tc>
          <w:tcPr>
            <w:tcW w:w="1728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sz w:val="28"/>
                <w:szCs w:val="28"/>
              </w:rPr>
              <w:t xml:space="preserve">- для </w:t>
            </w:r>
            <w:r w:rsidRPr="009D6975">
              <w:rPr>
                <w:color w:val="000000"/>
                <w:position w:val="-14"/>
                <w:sz w:val="28"/>
                <w:szCs w:val="28"/>
              </w:rPr>
              <w:object w:dxaOrig="880" w:dyaOrig="380">
                <v:shape id="_x0000_i1061" type="#_x0000_t75" style="width:44.25pt;height:18.75pt" o:ole="">
                  <v:imagedata r:id="rId73" o:title=""/>
                </v:shape>
                <o:OLEObject Type="Embed" ProgID="Equation.DSMT4" ShapeID="_x0000_i1061" DrawAspect="Content" ObjectID="_1458983812" r:id="rId74"/>
              </w:object>
            </w:r>
          </w:p>
        </w:tc>
        <w:tc>
          <w:tcPr>
            <w:tcW w:w="936" w:type="dxa"/>
          </w:tcPr>
          <w:p w:rsidR="00B575CC" w:rsidRPr="009D6975" w:rsidRDefault="00B575CC" w:rsidP="009D6975">
            <w:pPr>
              <w:spacing w:line="360" w:lineRule="auto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9D6975">
              <w:rPr>
                <w:color w:val="000000"/>
                <w:position w:val="-6"/>
                <w:sz w:val="28"/>
                <w:szCs w:val="28"/>
              </w:rPr>
              <w:object w:dxaOrig="720" w:dyaOrig="279">
                <v:shape id="_x0000_i1062" type="#_x0000_t75" style="width:36pt;height:14.25pt" o:ole="">
                  <v:imagedata r:id="rId75" o:title=""/>
                </v:shape>
                <o:OLEObject Type="Embed" ProgID="Equation.DSMT4" ShapeID="_x0000_i1062" DrawAspect="Content" ObjectID="_1458983813" r:id="rId76"/>
              </w:object>
            </w:r>
          </w:p>
        </w:tc>
      </w:tr>
    </w:tbl>
    <w:p w:rsidR="0024130E" w:rsidRDefault="00A81584" w:rsidP="009D6975">
      <w:pPr>
        <w:spacing w:line="360" w:lineRule="auto"/>
        <w:ind w:left="-284"/>
        <w:jc w:val="both"/>
        <w:rPr>
          <w:color w:val="000000"/>
        </w:rPr>
      </w:pPr>
      <w:r w:rsidRPr="009D6975">
        <w:rPr>
          <w:color w:val="000000"/>
          <w:sz w:val="28"/>
          <w:szCs w:val="28"/>
        </w:rPr>
        <w:t xml:space="preserve">Значения ДВП для каждого потребителя, их суммарное значение ДВП и </w:t>
      </w:r>
      <w:r w:rsidR="00C7433D" w:rsidRPr="009D6975">
        <w:rPr>
          <w:color w:val="000000"/>
          <w:sz w:val="28"/>
          <w:szCs w:val="28"/>
        </w:rPr>
        <w:t>ДВП</w:t>
      </w:r>
      <w:r w:rsidR="00C7433D" w:rsidRPr="009D6975">
        <w:rPr>
          <w:color w:val="000000"/>
          <w:sz w:val="28"/>
          <w:szCs w:val="28"/>
          <w:vertAlign w:val="subscript"/>
        </w:rPr>
        <w:t xml:space="preserve">ЭСО </w:t>
      </w:r>
      <w:proofErr w:type="spellStart"/>
      <w:r w:rsidRPr="009D6975">
        <w:rPr>
          <w:color w:val="000000"/>
          <w:sz w:val="28"/>
          <w:szCs w:val="28"/>
        </w:rPr>
        <w:t>энергоснабжающей</w:t>
      </w:r>
      <w:proofErr w:type="spellEnd"/>
      <w:r w:rsidRPr="009D6975">
        <w:rPr>
          <w:color w:val="000000"/>
          <w:sz w:val="28"/>
          <w:szCs w:val="28"/>
        </w:rPr>
        <w:t xml:space="preserve"> организации приведены в табл. 1.</w:t>
      </w:r>
    </w:p>
    <w:p w:rsidR="007711A5" w:rsidRDefault="008C42F7" w:rsidP="008C42F7">
      <w:pPr>
        <w:ind w:firstLine="8280"/>
        <w:jc w:val="both"/>
        <w:rPr>
          <w:color w:val="000000"/>
        </w:rPr>
      </w:pPr>
      <w:r>
        <w:rPr>
          <w:color w:val="000000"/>
        </w:rPr>
        <w:t>Табл.1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75"/>
        <w:gridCol w:w="1168"/>
        <w:gridCol w:w="1145"/>
        <w:gridCol w:w="1175"/>
        <w:gridCol w:w="1175"/>
        <w:gridCol w:w="1176"/>
        <w:gridCol w:w="1169"/>
        <w:gridCol w:w="1188"/>
      </w:tblGrid>
      <w:tr w:rsidR="007711A5">
        <w:tc>
          <w:tcPr>
            <w:tcW w:w="9571" w:type="dxa"/>
            <w:gridSpan w:val="8"/>
            <w:vAlign w:val="center"/>
          </w:tcPr>
          <w:p w:rsidR="007711A5" w:rsidRDefault="007711A5" w:rsidP="00516EDF">
            <w:pPr>
              <w:ind w:left="-180" w:firstLine="180"/>
              <w:jc w:val="center"/>
              <w:rPr>
                <w:color w:val="000000"/>
              </w:rPr>
            </w:pPr>
            <w:r w:rsidRPr="0016759C">
              <w:rPr>
                <w:color w:val="000000"/>
              </w:rPr>
              <w:t>Допу</w:t>
            </w:r>
            <w:r>
              <w:rPr>
                <w:color w:val="000000"/>
              </w:rPr>
              <w:t>с</w:t>
            </w:r>
            <w:r w:rsidRPr="0016759C">
              <w:rPr>
                <w:color w:val="000000"/>
              </w:rPr>
              <w:t>тимые</w:t>
            </w:r>
            <w:r>
              <w:rPr>
                <w:color w:val="000000"/>
              </w:rPr>
              <w:t xml:space="preserve"> </w:t>
            </w:r>
            <w:r w:rsidRPr="0016759C">
              <w:rPr>
                <w:color w:val="000000"/>
              </w:rPr>
              <w:t xml:space="preserve">вклады </w:t>
            </w:r>
            <w:r>
              <w:rPr>
                <w:color w:val="000000"/>
              </w:rPr>
              <w:t>по</w:t>
            </w:r>
            <w:r w:rsidRPr="0016759C">
              <w:rPr>
                <w:color w:val="000000"/>
              </w:rPr>
              <w:t xml:space="preserve">требителей </w:t>
            </w:r>
            <w:proofErr w:type="gramStart"/>
            <w:r w:rsidRPr="0016759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671BAB">
              <w:rPr>
                <w:color w:val="000000"/>
                <w:position w:val="-12"/>
              </w:rPr>
              <w:object w:dxaOrig="460" w:dyaOrig="360">
                <v:shape id="_x0000_i1063" type="#_x0000_t75" style="width:23.25pt;height:18pt" o:ole="">
                  <v:imagedata r:id="rId58" o:title=""/>
                </v:shape>
                <o:OLEObject Type="Embed" ProgID="Equation.DSMT4" ShapeID="_x0000_i1063" DrawAspect="Content" ObjectID="_1458983814" r:id="rId77"/>
              </w:objec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671BAB">
              <w:rPr>
                <w:color w:val="000000"/>
                <w:position w:val="-12"/>
              </w:rPr>
              <w:object w:dxaOrig="380" w:dyaOrig="360">
                <v:shape id="_x0000_i1064" type="#_x0000_t75" style="width:18.75pt;height:18pt" o:ole="">
                  <v:imagedata r:id="rId69" o:title=""/>
                </v:shape>
                <o:OLEObject Type="Embed" ProgID="Equation.DSMT4" ShapeID="_x0000_i1064" DrawAspect="Content" ObjectID="_1458983815" r:id="rId78"/>
              </w:object>
            </w:r>
            <w:r>
              <w:rPr>
                <w:color w:val="000000"/>
              </w:rPr>
              <w:t>,</w:t>
            </w:r>
            <w:r w:rsidRPr="00671BAB">
              <w:rPr>
                <w:color w:val="000000"/>
                <w:position w:val="-14"/>
              </w:rPr>
              <w:object w:dxaOrig="560" w:dyaOrig="380">
                <v:shape id="_x0000_i1065" type="#_x0000_t75" style="width:27.75pt;height:18.75pt" o:ole="">
                  <v:imagedata r:id="rId66" o:title=""/>
                </v:shape>
                <o:OLEObject Type="Embed" ProgID="Equation.DSMT4" ShapeID="_x0000_i1065" DrawAspect="Content" ObjectID="_1458983816" r:id="rId79"/>
              </w:object>
            </w:r>
          </w:p>
        </w:tc>
      </w:tr>
      <w:tr w:rsidR="00516EDF">
        <w:tc>
          <w:tcPr>
            <w:tcW w:w="1375" w:type="dxa"/>
            <w:vAlign w:val="center"/>
          </w:tcPr>
          <w:p w:rsidR="00516EDF" w:rsidRPr="007711A5" w:rsidRDefault="00516EDF" w:rsidP="00516EDF">
            <w:pPr>
              <w:jc w:val="center"/>
              <w:rPr>
                <w:color w:val="000000"/>
              </w:rPr>
            </w:pPr>
            <w:r w:rsidRPr="007711A5">
              <w:rPr>
                <w:color w:val="0E3526"/>
              </w:rPr>
              <w:t>Показатель</w:t>
            </w:r>
          </w:p>
        </w:tc>
        <w:tc>
          <w:tcPr>
            <w:tcW w:w="1168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7711A5">
              <w:rPr>
                <w:color w:val="000000"/>
                <w:vertAlign w:val="subscript"/>
              </w:rPr>
              <w:t>н</w:t>
            </w:r>
            <w:proofErr w:type="spellEnd"/>
            <w:r>
              <w:rPr>
                <w:color w:val="000000"/>
              </w:rPr>
              <w:t>,%</w:t>
            </w:r>
            <w:proofErr w:type="gramEnd"/>
          </w:p>
        </w:tc>
        <w:tc>
          <w:tcPr>
            <w:tcW w:w="1145" w:type="dxa"/>
            <w:vAlign w:val="center"/>
          </w:tcPr>
          <w:p w:rsidR="00516EDF" w:rsidRDefault="001A7028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175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ДВП1</w:t>
            </w:r>
          </w:p>
        </w:tc>
        <w:tc>
          <w:tcPr>
            <w:tcW w:w="1175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ДВП2</w:t>
            </w:r>
          </w:p>
        </w:tc>
        <w:tc>
          <w:tcPr>
            <w:tcW w:w="1176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ДВП3</w:t>
            </w:r>
          </w:p>
        </w:tc>
        <w:tc>
          <w:tcPr>
            <w:tcW w:w="1169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</w:p>
        </w:tc>
        <w:tc>
          <w:tcPr>
            <w:tcW w:w="1188" w:type="dxa"/>
            <w:vAlign w:val="center"/>
          </w:tcPr>
          <w:p w:rsidR="00516EDF" w:rsidRDefault="00516EDF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  <w:r w:rsidRPr="007711A5">
              <w:rPr>
                <w:color w:val="000000"/>
                <w:vertAlign w:val="subscript"/>
              </w:rPr>
              <w:t>ЭСО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 w:rsidRPr="00576121">
              <w:rPr>
                <w:color w:val="000000"/>
                <w:position w:val="-12"/>
              </w:rPr>
              <w:object w:dxaOrig="279" w:dyaOrig="360">
                <v:shape id="_x0000_i1066" type="#_x0000_t75" style="width:14.25pt;height:18pt" o:ole="">
                  <v:imagedata r:id="rId44" o:title=""/>
                </v:shape>
                <o:OLEObject Type="Embed" ProgID="Equation.DSMT4" ShapeID="_x0000_i1066" DrawAspect="Content" ObjectID="_1458983817" r:id="rId80"/>
              </w:object>
            </w:r>
          </w:p>
        </w:tc>
        <w:tc>
          <w:tcPr>
            <w:tcW w:w="116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176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169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460" w:dyaOrig="360">
                <v:shape id="_x0000_i1067" type="#_x0000_t75" style="width:23.25pt;height:18pt" o:ole="">
                  <v:imagedata r:id="rId58" o:title=""/>
                </v:shape>
                <o:OLEObject Type="Embed" ProgID="Equation.DSMT4" ShapeID="_x0000_i1067" DrawAspect="Content" ObjectID="_1458983818" r:id="rId81"/>
              </w:object>
            </w:r>
            <w:r w:rsidRPr="00A30E2F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A30E2F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A30E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1176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169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18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460" w:dyaOrig="360">
                <v:shape id="_x0000_i1068" type="#_x0000_t75" style="width:23.25pt;height:18pt" o:ole="">
                  <v:imagedata r:id="rId58" o:title=""/>
                </v:shape>
                <o:OLEObject Type="Embed" ProgID="Equation.DSMT4" ShapeID="_x0000_i1068" DrawAspect="Content" ObjectID="_1458983819" r:id="rId82"/>
              </w:object>
            </w:r>
            <w:r w:rsidRPr="00A30E2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A30E2F">
              <w:rPr>
                <w:color w:val="000000"/>
                <w:sz w:val="18"/>
                <w:szCs w:val="18"/>
              </w:rPr>
              <w:t>пред</w:t>
            </w:r>
            <w:proofErr w:type="gramEnd"/>
            <w:r w:rsidRPr="00A30E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175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176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1169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1188" w:type="dxa"/>
            <w:vAlign w:val="center"/>
          </w:tcPr>
          <w:p w:rsidR="00432959" w:rsidRDefault="00432959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380" w:dyaOrig="360">
                <v:shape id="_x0000_i1069" type="#_x0000_t75" style="width:18.75pt;height:18pt" o:ole="">
                  <v:imagedata r:id="rId69" o:title=""/>
                </v:shape>
                <o:OLEObject Type="Embed" ProgID="Equation.DSMT4" ShapeID="_x0000_i1069" DrawAspect="Content" ObjectID="_1458983820" r:id="rId83"/>
              </w:object>
            </w:r>
            <w:r w:rsidRPr="00A30E2F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A30E2F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A30E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A30E2F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A30E2F">
              <w:rPr>
                <w:color w:val="000000"/>
                <w:position w:val="-12"/>
                <w:sz w:val="18"/>
                <w:szCs w:val="18"/>
              </w:rPr>
              <w:object w:dxaOrig="380" w:dyaOrig="360">
                <v:shape id="_x0000_i1070" type="#_x0000_t75" style="width:18.75pt;height:18pt" o:ole="">
                  <v:imagedata r:id="rId69" o:title=""/>
                </v:shape>
                <o:OLEObject Type="Embed" ProgID="Equation.DSMT4" ShapeID="_x0000_i1070" DrawAspect="Content" ObjectID="_1458983821" r:id="rId84"/>
              </w:object>
            </w:r>
            <w:r w:rsidRPr="00A30E2F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A30E2F">
              <w:rPr>
                <w:color w:val="000000"/>
                <w:sz w:val="18"/>
                <w:szCs w:val="18"/>
              </w:rPr>
              <w:t>пред</w:t>
            </w:r>
            <w:proofErr w:type="gramEnd"/>
            <w:r w:rsidRPr="00A30E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1" type="#_x0000_t75" style="width:27.75pt;height:18.75pt" o:ole="">
                  <v:imagedata r:id="rId85" o:title=""/>
                </v:shape>
                <o:OLEObject Type="Embed" ProgID="Equation.DSMT4" ShapeID="_x0000_i1071" DrawAspect="Content" ObjectID="_1458983822" r:id="rId86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CD3ED3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CD3E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A30E2F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2" type="#_x0000_t75" style="width:27.75pt;height:18.75pt" o:ole="">
                  <v:imagedata r:id="rId85" o:title=""/>
                </v:shape>
                <o:OLEObject Type="Embed" ProgID="Equation.DSMT4" ShapeID="_x0000_i1072" DrawAspect="Content" ObjectID="_1458983823" r:id="rId87"/>
              </w:objec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пред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014236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3" type="#_x0000_t75" style="width:27.75pt;height:18.75pt" o:ole="">
                  <v:imagedata r:id="rId88" o:title=""/>
                </v:shape>
                <o:OLEObject Type="Embed" ProgID="Equation.DSMT4" ShapeID="_x0000_i1073" DrawAspect="Content" ObjectID="_1458983824" r:id="rId89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CD3ED3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CD3E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75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1176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1169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1188" w:type="dxa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073B4A" w:rsidP="00014236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4" type="#_x0000_t75" style="width:27.75pt;height:18.75pt" o:ole="">
                  <v:imagedata r:id="rId90" o:title=""/>
                </v:shape>
                <o:OLEObject Type="Embed" ProgID="Equation.DSMT4" ShapeID="_x0000_i1074" DrawAspect="Content" ObjectID="_1458983825" r:id="rId91"/>
              </w:objec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пред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073B4A" w:rsidP="00073B4A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5" type="#_x0000_t75" style="width:27.75pt;height:18.75pt" o:ole="">
                  <v:imagedata r:id="rId92" o:title=""/>
                </v:shape>
                <o:OLEObject Type="Embed" ProgID="Equation.DSMT4" ShapeID="_x0000_i1075" DrawAspect="Content" ObjectID="_1458983826" r:id="rId93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CD3ED3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CD3E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073B4A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6" type="#_x0000_t75" style="width:27.75pt;height:18.75pt" o:ole="">
                  <v:imagedata r:id="rId94" o:title=""/>
                </v:shape>
                <o:OLEObject Type="Embed" ProgID="Equation.DSMT4" ShapeID="_x0000_i1076" DrawAspect="Content" ObjectID="_1458983827" r:id="rId95"/>
              </w:objec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пред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175" w:type="dxa"/>
            <w:vAlign w:val="center"/>
          </w:tcPr>
          <w:p w:rsidR="00073B4A" w:rsidRDefault="00073B4A" w:rsidP="00073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073B4A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77" type="#_x0000_t75" style="width:27.75pt;height:18.75pt" o:ole="">
                  <v:imagedata r:id="rId96" o:title=""/>
                </v:shape>
                <o:OLEObject Type="Embed" ProgID="Equation.DSMT4" ShapeID="_x0000_i1077" DrawAspect="Content" ObjectID="_1458983828" r:id="rId97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CD3ED3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CD3E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432959">
        <w:tc>
          <w:tcPr>
            <w:tcW w:w="9571" w:type="dxa"/>
            <w:gridSpan w:val="8"/>
            <w:vAlign w:val="center"/>
          </w:tcPr>
          <w:p w:rsidR="00432959" w:rsidRDefault="00432959" w:rsidP="00516EDF">
            <w:pPr>
              <w:jc w:val="center"/>
              <w:rPr>
                <w:color w:val="000000"/>
              </w:rPr>
            </w:pPr>
            <w:r w:rsidRPr="0016759C">
              <w:rPr>
                <w:color w:val="000000"/>
              </w:rPr>
              <w:t>Допу</w:t>
            </w:r>
            <w:r>
              <w:rPr>
                <w:color w:val="000000"/>
              </w:rPr>
              <w:t>с</w:t>
            </w:r>
            <w:r w:rsidRPr="0016759C">
              <w:rPr>
                <w:color w:val="000000"/>
              </w:rPr>
              <w:t>тимые</w:t>
            </w:r>
            <w:r>
              <w:rPr>
                <w:color w:val="000000"/>
              </w:rPr>
              <w:t xml:space="preserve"> </w:t>
            </w:r>
            <w:r w:rsidRPr="0016759C">
              <w:rPr>
                <w:color w:val="000000"/>
              </w:rPr>
              <w:t xml:space="preserve">вклады </w:t>
            </w:r>
            <w:r>
              <w:rPr>
                <w:color w:val="000000"/>
              </w:rPr>
              <w:t>по</w:t>
            </w:r>
            <w:r w:rsidRPr="0016759C">
              <w:rPr>
                <w:color w:val="000000"/>
              </w:rPr>
              <w:t xml:space="preserve">требителей </w:t>
            </w:r>
            <w:proofErr w:type="gramStart"/>
            <w:r w:rsidRPr="0016759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671BAB">
              <w:rPr>
                <w:color w:val="000000"/>
                <w:position w:val="-12"/>
              </w:rPr>
              <w:object w:dxaOrig="460" w:dyaOrig="360">
                <v:shape id="_x0000_i1078" type="#_x0000_t75" style="width:23.25pt;height:18pt" o:ole="">
                  <v:imagedata r:id="rId58" o:title=""/>
                </v:shape>
                <o:OLEObject Type="Embed" ProgID="Equation.DSMT4" ShapeID="_x0000_i1078" DrawAspect="Content" ObjectID="_1458983829" r:id="rId98"/>
              </w:objec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671BAB">
              <w:rPr>
                <w:color w:val="000000"/>
                <w:position w:val="-12"/>
              </w:rPr>
              <w:object w:dxaOrig="380" w:dyaOrig="360">
                <v:shape id="_x0000_i1079" type="#_x0000_t75" style="width:18.75pt;height:18pt" o:ole="">
                  <v:imagedata r:id="rId69" o:title=""/>
                </v:shape>
                <o:OLEObject Type="Embed" ProgID="Equation.DSMT4" ShapeID="_x0000_i1079" DrawAspect="Content" ObjectID="_1458983830" r:id="rId99"/>
              </w:object>
            </w:r>
            <w:r>
              <w:rPr>
                <w:color w:val="000000"/>
              </w:rPr>
              <w:t>,</w:t>
            </w:r>
            <w:r w:rsidRPr="00671BAB">
              <w:rPr>
                <w:color w:val="000000"/>
                <w:position w:val="-14"/>
              </w:rPr>
              <w:object w:dxaOrig="560" w:dyaOrig="380">
                <v:shape id="_x0000_i1080" type="#_x0000_t75" style="width:27.75pt;height:18.75pt" o:ole="">
                  <v:imagedata r:id="rId66" o:title=""/>
                </v:shape>
                <o:OLEObject Type="Embed" ProgID="Equation.DSMT4" ShapeID="_x0000_i1080" DrawAspect="Content" ObjectID="_1458983831" r:id="rId100"/>
              </w:objec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7711A5" w:rsidRDefault="00432959" w:rsidP="00FD3524">
            <w:pPr>
              <w:jc w:val="center"/>
              <w:rPr>
                <w:color w:val="000000"/>
              </w:rPr>
            </w:pPr>
            <w:r w:rsidRPr="007711A5">
              <w:rPr>
                <w:color w:val="0E3526"/>
              </w:rPr>
              <w:t>Показатель</w:t>
            </w:r>
          </w:p>
        </w:tc>
        <w:tc>
          <w:tcPr>
            <w:tcW w:w="1168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7711A5">
              <w:rPr>
                <w:color w:val="000000"/>
                <w:vertAlign w:val="subscript"/>
              </w:rPr>
              <w:t>н</w:t>
            </w:r>
            <w:proofErr w:type="spellEnd"/>
            <w:r>
              <w:rPr>
                <w:color w:val="000000"/>
              </w:rPr>
              <w:t>,%</w:t>
            </w:r>
            <w:proofErr w:type="gramEnd"/>
          </w:p>
        </w:tc>
        <w:tc>
          <w:tcPr>
            <w:tcW w:w="1145" w:type="dxa"/>
            <w:vAlign w:val="center"/>
          </w:tcPr>
          <w:p w:rsidR="00432959" w:rsidRDefault="001A7028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175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ДВП1</w:t>
            </w:r>
          </w:p>
        </w:tc>
        <w:tc>
          <w:tcPr>
            <w:tcW w:w="1175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ДВП2</w:t>
            </w:r>
          </w:p>
        </w:tc>
        <w:tc>
          <w:tcPr>
            <w:tcW w:w="1176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ДВП3</w:t>
            </w:r>
          </w:p>
        </w:tc>
        <w:tc>
          <w:tcPr>
            <w:tcW w:w="1169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</w:p>
        </w:tc>
        <w:tc>
          <w:tcPr>
            <w:tcW w:w="1188" w:type="dxa"/>
            <w:vAlign w:val="center"/>
          </w:tcPr>
          <w:p w:rsidR="00432959" w:rsidRDefault="00432959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ДВП</w:t>
            </w:r>
            <w:r w:rsidRPr="007711A5">
              <w:rPr>
                <w:color w:val="000000"/>
                <w:vertAlign w:val="subscript"/>
              </w:rPr>
              <w:t>ЭСО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7711A5" w:rsidRDefault="001A7028" w:rsidP="00FD3524">
            <w:pPr>
              <w:jc w:val="center"/>
              <w:rPr>
                <w:color w:val="0E3526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81" type="#_x0000_t75" style="width:27.75pt;height:18.75pt" o:ole="">
                  <v:imagedata r:id="rId96" o:title=""/>
                </v:shape>
                <o:OLEObject Type="Embed" ProgID="Equation.DSMT4" ShapeID="_x0000_i1081" DrawAspect="Content" ObjectID="_1458983832" r:id="rId101"/>
              </w:objec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32959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432959">
              <w:rPr>
                <w:color w:val="000000"/>
                <w:sz w:val="18"/>
                <w:szCs w:val="18"/>
              </w:rPr>
              <w:t>пред</w:t>
            </w:r>
            <w:proofErr w:type="gramEnd"/>
            <w:r w:rsidR="0043295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14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76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169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18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7711A5" w:rsidRDefault="00432959" w:rsidP="00FD3524">
            <w:pPr>
              <w:jc w:val="center"/>
              <w:rPr>
                <w:color w:val="0E3526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600" w:dyaOrig="380">
                <v:shape id="_x0000_i1082" type="#_x0000_t75" style="width:30pt;height:18.75pt" o:ole="">
                  <v:imagedata r:id="rId102" o:title=""/>
                </v:shape>
                <o:OLEObject Type="Embed" ProgID="Equation.DSMT4" ShapeID="_x0000_i1082" DrawAspect="Content" ObjectID="_1458983833" r:id="rId103"/>
              </w:object>
            </w:r>
            <w:r w:rsidRPr="00CD3ED3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CD3ED3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CD3E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175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176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69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1188" w:type="dxa"/>
            <w:vAlign w:val="center"/>
          </w:tcPr>
          <w:p w:rsidR="00432959" w:rsidRDefault="00073B4A" w:rsidP="00FD3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CD3ED3" w:rsidRDefault="00432959" w:rsidP="00FD3524">
            <w:pPr>
              <w:jc w:val="center"/>
              <w:rPr>
                <w:color w:val="000000"/>
                <w:sz w:val="18"/>
                <w:szCs w:val="18"/>
              </w:rPr>
            </w:pPr>
            <w:r w:rsidRPr="00CD3ED3">
              <w:rPr>
                <w:color w:val="000000"/>
                <w:position w:val="-14"/>
                <w:sz w:val="18"/>
                <w:szCs w:val="18"/>
              </w:rPr>
              <w:object w:dxaOrig="600" w:dyaOrig="380">
                <v:shape id="_x0000_i1083" type="#_x0000_t75" style="width:30pt;height:18.75pt" o:ole="">
                  <v:imagedata r:id="rId104" o:title=""/>
                </v:shape>
                <o:OLEObject Type="Embed" ProgID="Equation.DSMT4" ShapeID="_x0000_i1083" DrawAspect="Content" ObjectID="_1458983834" r:id="rId105"/>
              </w:objec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пред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FD3524" w:rsidRDefault="00432959" w:rsidP="00FD3524">
            <w:pPr>
              <w:jc w:val="center"/>
              <w:rPr>
                <w:color w:val="000000"/>
                <w:sz w:val="18"/>
                <w:szCs w:val="18"/>
              </w:rPr>
            </w:pPr>
            <w:r w:rsidRPr="00FD3524">
              <w:rPr>
                <w:color w:val="000000"/>
                <w:position w:val="-14"/>
                <w:sz w:val="18"/>
                <w:szCs w:val="18"/>
              </w:rPr>
              <w:object w:dxaOrig="620" w:dyaOrig="380">
                <v:shape id="_x0000_i1084" type="#_x0000_t75" style="width:30.75pt;height:18.75pt" o:ole="">
                  <v:imagedata r:id="rId106" o:title=""/>
                </v:shape>
                <o:OLEObject Type="Embed" ProgID="Equation.DSMT4" ShapeID="_x0000_i1084" DrawAspect="Content" ObjectID="_1458983835" r:id="rId107"/>
              </w:object>
            </w:r>
            <w:r w:rsidRPr="00FD3524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FD3524">
              <w:rPr>
                <w:color w:val="000000"/>
                <w:sz w:val="18"/>
                <w:szCs w:val="18"/>
              </w:rPr>
              <w:t>норм</w:t>
            </w:r>
            <w:proofErr w:type="gramEnd"/>
            <w:r w:rsidRPr="00FD352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32959">
        <w:tc>
          <w:tcPr>
            <w:tcW w:w="1375" w:type="dxa"/>
            <w:vAlign w:val="center"/>
          </w:tcPr>
          <w:p w:rsidR="00432959" w:rsidRPr="00FD3524" w:rsidRDefault="00432959" w:rsidP="00FD3524">
            <w:pPr>
              <w:jc w:val="center"/>
              <w:rPr>
                <w:color w:val="000000"/>
                <w:sz w:val="18"/>
                <w:szCs w:val="18"/>
              </w:rPr>
            </w:pPr>
            <w:r w:rsidRPr="00FD3524">
              <w:rPr>
                <w:color w:val="000000"/>
                <w:position w:val="-14"/>
                <w:sz w:val="18"/>
                <w:szCs w:val="18"/>
              </w:rPr>
              <w:object w:dxaOrig="620" w:dyaOrig="380">
                <v:shape id="_x0000_i1085" type="#_x0000_t75" style="width:30.75pt;height:18.75pt" o:ole="">
                  <v:imagedata r:id="rId108" o:title=""/>
                </v:shape>
                <o:OLEObject Type="Embed" ProgID="Equation.DSMT4" ShapeID="_x0000_i1085" DrawAspect="Content" ObjectID="_1458983836" r:id="rId109"/>
              </w:object>
            </w:r>
            <w:r w:rsidRPr="00FD3524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FD3524">
              <w:rPr>
                <w:color w:val="000000"/>
                <w:sz w:val="18"/>
                <w:szCs w:val="18"/>
              </w:rPr>
              <w:t>пред</w:t>
            </w:r>
            <w:proofErr w:type="gramEnd"/>
            <w:r w:rsidRPr="00FD352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75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176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1169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188" w:type="dxa"/>
            <w:vAlign w:val="center"/>
          </w:tcPr>
          <w:p w:rsidR="00432959" w:rsidRDefault="00073B4A" w:rsidP="0051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</w:tbl>
    <w:p w:rsidR="007711A5" w:rsidRDefault="007711A5" w:rsidP="00A81584">
      <w:pPr>
        <w:ind w:firstLine="709"/>
        <w:jc w:val="both"/>
        <w:rPr>
          <w:color w:val="000000"/>
        </w:rPr>
      </w:pPr>
    </w:p>
    <w:p w:rsidR="008C42F7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При этом </w:t>
      </w:r>
    </w:p>
    <w:p w:rsidR="00A81584" w:rsidRPr="009D6975" w:rsidRDefault="008C42F7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position w:val="-12"/>
          <w:sz w:val="28"/>
          <w:szCs w:val="28"/>
        </w:rPr>
        <w:object w:dxaOrig="4099" w:dyaOrig="460">
          <v:shape id="_x0000_i1086" type="#_x0000_t75" style="width:204.75pt;height:23.25pt" o:ole="">
            <v:imagedata r:id="rId110" o:title=""/>
          </v:shape>
          <o:OLEObject Type="Embed" ProgID="Equation.DSMT4" ShapeID="_x0000_i1086" DrawAspect="Content" ObjectID="_1458983837" r:id="rId111"/>
        </w:object>
      </w:r>
    </w:p>
    <w:p w:rsidR="008C42F7" w:rsidRPr="009D6975" w:rsidRDefault="008C42F7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9D6975">
        <w:rPr>
          <w:position w:val="-12"/>
          <w:sz w:val="28"/>
          <w:szCs w:val="28"/>
        </w:rPr>
        <w:object w:dxaOrig="2580" w:dyaOrig="460">
          <v:shape id="_x0000_i1087" type="#_x0000_t75" style="width:129pt;height:23.25pt" o:ole="">
            <v:imagedata r:id="rId112" o:title=""/>
          </v:shape>
          <o:OLEObject Type="Embed" ProgID="Equation.DSMT4" ShapeID="_x0000_i1087" DrawAspect="Content" ObjectID="_1458983838" r:id="rId113"/>
        </w:objec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Рассчитанные значения ДВП и вносятся в договоры энергоснабжения с каждым потребителем как их индивидуальные допустимые вклады. В договор может вноситься и допустимый вклад ЭСО. При этом следует иметь в виду, что для каждого потребителя источником искажения является не только ЭСО с </w:t>
      </w:r>
      <w:proofErr w:type="gramStart"/>
      <w:r w:rsidRPr="009D6975">
        <w:rPr>
          <w:color w:val="000000"/>
          <w:sz w:val="28"/>
          <w:szCs w:val="28"/>
        </w:rPr>
        <w:t xml:space="preserve">его </w:t>
      </w:r>
      <w:r w:rsidR="00B261C7" w:rsidRPr="009D6975">
        <w:rPr>
          <w:color w:val="000000"/>
          <w:position w:val="-12"/>
          <w:sz w:val="28"/>
          <w:szCs w:val="28"/>
        </w:rPr>
        <w:object w:dxaOrig="880" w:dyaOrig="360">
          <v:shape id="_x0000_i1088" type="#_x0000_t75" style="width:44.25pt;height:18pt" o:ole="">
            <v:imagedata r:id="rId114" o:title=""/>
          </v:shape>
          <o:OLEObject Type="Embed" ProgID="Equation.DSMT4" ShapeID="_x0000_i1088" DrawAspect="Content" ObjectID="_1458983839" r:id="rId115"/>
        </w:object>
      </w:r>
      <w:r w:rsidRPr="009D6975">
        <w:rPr>
          <w:color w:val="000000"/>
          <w:sz w:val="28"/>
          <w:szCs w:val="28"/>
        </w:rPr>
        <w:t>,</w:t>
      </w:r>
      <w:proofErr w:type="gramEnd"/>
      <w:r w:rsidRPr="009D6975">
        <w:rPr>
          <w:color w:val="000000"/>
          <w:sz w:val="28"/>
          <w:szCs w:val="28"/>
        </w:rPr>
        <w:t xml:space="preserve"> (см. табл. 1), но и все другие потребители, присоединенные к рассматриваемым шинам подстанции 10 кв. В этом случае допустимый вклад ЭСО</w:t>
      </w:r>
      <w:r w:rsidR="00B261C7" w:rsidRPr="009D6975">
        <w:rPr>
          <w:color w:val="000000"/>
          <w:sz w:val="28"/>
          <w:szCs w:val="28"/>
        </w:rPr>
        <w:t>,</w:t>
      </w:r>
      <w:r w:rsidRPr="009D6975">
        <w:rPr>
          <w:color w:val="000000"/>
          <w:sz w:val="28"/>
          <w:szCs w:val="28"/>
        </w:rPr>
        <w:t xml:space="preserve"> вносимый в договор с каждым потребителем, будет различен. Например, для потребителя</w:t>
      </w:r>
      <w:r w:rsidR="00B261C7" w:rsidRPr="009D6975">
        <w:rPr>
          <w:color w:val="000000"/>
          <w:position w:val="-12"/>
          <w:sz w:val="28"/>
          <w:szCs w:val="28"/>
          <w:lang w:val="en-US"/>
        </w:rPr>
        <w:object w:dxaOrig="300" w:dyaOrig="360">
          <v:shape id="_x0000_i1089" type="#_x0000_t75" style="width:15pt;height:18pt" o:ole="">
            <v:imagedata r:id="rId116" o:title=""/>
          </v:shape>
          <o:OLEObject Type="Embed" ProgID="Equation.DSMT4" ShapeID="_x0000_i1089" DrawAspect="Content" ObjectID="_1458983840" r:id="rId117"/>
        </w:object>
      </w:r>
      <w:r w:rsidRPr="009D6975">
        <w:rPr>
          <w:color w:val="000000"/>
          <w:sz w:val="28"/>
          <w:szCs w:val="28"/>
        </w:rPr>
        <w:t xml:space="preserve">, 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 xml:space="preserve">Помимо допустимого влияния, которое потребители могут оказывать на качество электрической энергии, </w:t>
      </w:r>
      <w:r w:rsidR="006A569E" w:rsidRPr="009D6975">
        <w:rPr>
          <w:color w:val="000000"/>
          <w:sz w:val="28"/>
          <w:szCs w:val="28"/>
        </w:rPr>
        <w:t>в</w:t>
      </w:r>
      <w:r w:rsidRPr="009D6975">
        <w:rPr>
          <w:color w:val="000000"/>
          <w:sz w:val="28"/>
          <w:szCs w:val="28"/>
        </w:rPr>
        <w:t xml:space="preserve"> договоре должны быть зафиксированы:</w:t>
      </w:r>
    </w:p>
    <w:p w:rsidR="00A81584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i/>
          <w:iCs/>
          <w:color w:val="000000"/>
          <w:sz w:val="28"/>
          <w:szCs w:val="28"/>
        </w:rPr>
        <w:lastRenderedPageBreak/>
        <w:t>Методика контроля выполнения договорных условий сторонами</w:t>
      </w:r>
      <w:r w:rsidRPr="009D6975">
        <w:rPr>
          <w:i/>
          <w:iCs/>
          <w:color w:val="000000"/>
          <w:sz w:val="28"/>
          <w:szCs w:val="28"/>
        </w:rPr>
        <w:t xml:space="preserve">. </w:t>
      </w:r>
      <w:r w:rsidRPr="009D6975">
        <w:rPr>
          <w:color w:val="000000"/>
          <w:sz w:val="28"/>
          <w:szCs w:val="28"/>
        </w:rPr>
        <w:t xml:space="preserve">Достоверным способом, удовлетворяющим интересы обеих сторон, может быть только тот, который основан на инструментальном контроле. Ведь фактическое состояние качества ЭЭ непрерывно изменяется. Это обусловлено изменениями структуры и параметров как электрической системы, так и </w:t>
      </w:r>
      <w:proofErr w:type="spellStart"/>
      <w:r w:rsidRPr="009D6975">
        <w:rPr>
          <w:color w:val="000000"/>
          <w:sz w:val="28"/>
          <w:szCs w:val="28"/>
        </w:rPr>
        <w:t>электроприемников</w:t>
      </w:r>
      <w:proofErr w:type="spellEnd"/>
      <w:r w:rsidRPr="009D6975">
        <w:rPr>
          <w:color w:val="000000"/>
          <w:sz w:val="28"/>
          <w:szCs w:val="28"/>
        </w:rPr>
        <w:t xml:space="preserve"> потребителей. Расчетные методы не позволяют учесть всех влияющих факторов, поэтому и необходим инструментальный контроль. В качестве средства измерения ПКЭ могут применяться современные приборы [мир измерений], которые также позволяют измерять и анализировать дополнительные параметры электроэнергии, необходимые для определения фактического влияния каждой стороны на КЭ.</w:t>
      </w:r>
    </w:p>
    <w:p w:rsidR="001306E1" w:rsidRPr="009D6975" w:rsidRDefault="00A81584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i/>
          <w:iCs/>
          <w:color w:val="000000"/>
          <w:sz w:val="28"/>
          <w:szCs w:val="28"/>
        </w:rPr>
        <w:t>Периодичность и длительность непрерывных измерений</w:t>
      </w:r>
      <w:r w:rsidRPr="009D6975">
        <w:rPr>
          <w:i/>
          <w:iCs/>
          <w:color w:val="000000"/>
          <w:sz w:val="28"/>
          <w:szCs w:val="28"/>
        </w:rPr>
        <w:t xml:space="preserve">. </w:t>
      </w:r>
      <w:r w:rsidRPr="009D6975">
        <w:rPr>
          <w:color w:val="000000"/>
          <w:sz w:val="28"/>
          <w:szCs w:val="28"/>
        </w:rPr>
        <w:t>Измерения ПКЭ преследуют две цели: контроль выполнения требований ГОСТа на границе раздела балансовой принадлежности и контроль выполнения условий договора. Если требования ГОСТа выполняются, то можно считать, что все стороны выполняют условия договора. В противном случае возникает необходимость измерений фактического вклада (ФВП) и определения виновника ухудшения КЭ. Для решения первой задачи достаточно непрерывных измерений в течение 24 ч, что и требует ГОСТ 13109-97. Для решения второй задачи</w:t>
      </w:r>
      <w:r w:rsidR="001306E1" w:rsidRPr="009D6975">
        <w:rPr>
          <w:color w:val="000000"/>
          <w:sz w:val="28"/>
          <w:szCs w:val="28"/>
        </w:rPr>
        <w:t xml:space="preserve"> длительность измерений должна быть увеличена до 7 </w:t>
      </w:r>
      <w:proofErr w:type="spellStart"/>
      <w:proofErr w:type="gramStart"/>
      <w:r w:rsidR="001306E1" w:rsidRPr="009D6975">
        <w:rPr>
          <w:color w:val="000000"/>
          <w:sz w:val="28"/>
          <w:szCs w:val="28"/>
        </w:rPr>
        <w:t>сут</w:t>
      </w:r>
      <w:proofErr w:type="spellEnd"/>
      <w:r w:rsidR="001306E1" w:rsidRPr="009D6975">
        <w:rPr>
          <w:color w:val="000000"/>
          <w:sz w:val="28"/>
          <w:szCs w:val="28"/>
        </w:rPr>
        <w:t>.,</w:t>
      </w:r>
      <w:proofErr w:type="gramEnd"/>
      <w:r w:rsidR="001306E1" w:rsidRPr="009D6975">
        <w:rPr>
          <w:color w:val="000000"/>
          <w:sz w:val="28"/>
          <w:szCs w:val="28"/>
        </w:rPr>
        <w:t xml:space="preserve"> в течение которых и определятся ФВП. Периодичность контроля обусловлена техническими возможностями договаривающихся </w:t>
      </w:r>
      <w:proofErr w:type="gramStart"/>
      <w:r w:rsidR="001306E1" w:rsidRPr="009D6975">
        <w:rPr>
          <w:color w:val="000000"/>
          <w:sz w:val="28"/>
          <w:szCs w:val="28"/>
        </w:rPr>
        <w:t>сторон(</w:t>
      </w:r>
      <w:proofErr w:type="gramEnd"/>
      <w:r w:rsidR="001306E1" w:rsidRPr="009D6975">
        <w:rPr>
          <w:color w:val="000000"/>
          <w:sz w:val="28"/>
          <w:szCs w:val="28"/>
        </w:rPr>
        <w:t>средств измерения, наличие персонала и т.п.) и может быть не чаще, чем один раз в квартал.</w:t>
      </w:r>
    </w:p>
    <w:p w:rsidR="00DF1605" w:rsidRPr="009D6975" w:rsidRDefault="001306E1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b/>
          <w:bCs/>
          <w:i/>
          <w:iCs/>
          <w:color w:val="000000"/>
          <w:sz w:val="28"/>
          <w:szCs w:val="28"/>
        </w:rPr>
        <w:t xml:space="preserve">Механизм оплаты неустойки </w:t>
      </w:r>
      <w:r w:rsidRPr="009D6975">
        <w:rPr>
          <w:color w:val="000000"/>
          <w:sz w:val="28"/>
          <w:szCs w:val="28"/>
        </w:rPr>
        <w:t>в случае несоблюдения договорных обязательств также должен быть закреплен в договоре. Как уже отмечалось выше, в соответствии со статьей 329 ГК РФ при заключении договоров стороны могут оговаривать размер неустойки за ненадлежащее</w:t>
      </w:r>
      <w:r w:rsidR="00DF1605" w:rsidRPr="009D6975">
        <w:rPr>
          <w:color w:val="000000"/>
          <w:sz w:val="28"/>
          <w:szCs w:val="28"/>
        </w:rPr>
        <w:t xml:space="preserve"> выполнение договора. В соответствии с [2], размер неустойки вычисляется как скидка (или надбавка) к потребляемой электрической энергии. Виновная сторона может выплачивать неустойку в течение всего периода вплоть до следующих контрольных </w:t>
      </w:r>
      <w:r w:rsidR="00DF1605" w:rsidRPr="009D6975">
        <w:rPr>
          <w:color w:val="000000"/>
          <w:sz w:val="28"/>
          <w:szCs w:val="28"/>
        </w:rPr>
        <w:lastRenderedPageBreak/>
        <w:t>измерений за весь объем отпущенной (получаемой) электроэнергии. При организации непрерывного контроля КЭ с помощью средств измерения, встраиваемых в систему автоматического контроля и учета ЭЭ, способы применения неустойки к объему оплачиваемой ЭЭ могут быть и другими.</w:t>
      </w:r>
    </w:p>
    <w:p w:rsidR="00DF1605" w:rsidRPr="009D6975" w:rsidRDefault="00DF1605" w:rsidP="009D6975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>Размер скидок</w:t>
      </w:r>
      <w:r w:rsidR="00283471" w:rsidRPr="009D6975">
        <w:rPr>
          <w:color w:val="000000"/>
          <w:sz w:val="28"/>
          <w:szCs w:val="28"/>
        </w:rPr>
        <w:t>(</w:t>
      </w:r>
      <w:r w:rsidRPr="009D6975">
        <w:rPr>
          <w:color w:val="000000"/>
          <w:sz w:val="28"/>
          <w:szCs w:val="28"/>
        </w:rPr>
        <w:t>надбавок</w:t>
      </w:r>
      <w:r w:rsidR="00283471" w:rsidRPr="009D6975">
        <w:rPr>
          <w:color w:val="000000"/>
          <w:sz w:val="28"/>
          <w:szCs w:val="28"/>
        </w:rPr>
        <w:t>)</w:t>
      </w:r>
      <w:r w:rsidRPr="009D6975">
        <w:rPr>
          <w:color w:val="000000"/>
          <w:sz w:val="28"/>
          <w:szCs w:val="28"/>
        </w:rPr>
        <w:t xml:space="preserve"> определяют по результатам измерений за расчетный период, в ТК определяют Т1 и Т2 </w:t>
      </w:r>
      <w:r w:rsidR="00283471" w:rsidRPr="009D6975">
        <w:rPr>
          <w:color w:val="000000"/>
          <w:sz w:val="28"/>
          <w:szCs w:val="28"/>
        </w:rPr>
        <w:t xml:space="preserve">- </w:t>
      </w:r>
      <w:r w:rsidRPr="009D6975">
        <w:rPr>
          <w:color w:val="000000"/>
          <w:sz w:val="28"/>
          <w:szCs w:val="28"/>
        </w:rPr>
        <w:t>ответственно относительное время превышения нормально и предельно допустимого уровня ПКЭ. Если Т1 &gt;5% и/или Т2&gt;0. требования ГОСТ 13109-97 считаются невыполненными. Тогда для таких показателей, как отклонение напряжения и частоты, рассчитывается размер скидки к стоимости электроэнергии. Для остальных нормируемых ПКЭ необходимо убедиться в том, что потребитель не нарушал предъявляемых к нему требований по допустимому влиянию на уровни ПКЭ. Для этого по результатам измерений определяется фактический вклад потребителя. Результаты сравниваются с нормально и предельно допустимым вкладом, и так же, как и для уровней ПКЭ</w:t>
      </w:r>
      <w:proofErr w:type="gramStart"/>
      <w:r w:rsidRPr="009D6975">
        <w:rPr>
          <w:color w:val="000000"/>
          <w:sz w:val="28"/>
          <w:szCs w:val="28"/>
        </w:rPr>
        <w:t>. определяется</w:t>
      </w:r>
      <w:proofErr w:type="gramEnd"/>
      <w:r w:rsidRPr="009D6975">
        <w:rPr>
          <w:color w:val="000000"/>
          <w:sz w:val="28"/>
          <w:szCs w:val="28"/>
        </w:rPr>
        <w:t xml:space="preserve"> граница, в которой с вероятностью 95 % находятся измеренные значения фактического вклада потребителя и которая не должна превышать нормально допустимый вклад потребителя. В этом случае неустойку выплачивает ЭСО (для потребителя скидка). Если же зафиксировано превышение допустимого вклада, неустойку выплачивает потребитель. </w:t>
      </w:r>
    </w:p>
    <w:p w:rsidR="00B575CC" w:rsidRPr="009D6975" w:rsidRDefault="00DF1605" w:rsidP="009D6975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9D6975">
        <w:rPr>
          <w:color w:val="000000"/>
          <w:sz w:val="28"/>
          <w:szCs w:val="28"/>
        </w:rPr>
        <w:t>В табл. 2 приведен пример определения размера неустойки, где процент от суммарной стоимости потребляемой электроэнергии</w:t>
      </w:r>
      <w:r w:rsidR="009823EC">
        <w:rPr>
          <w:color w:val="000000"/>
          <w:sz w:val="28"/>
          <w:szCs w:val="28"/>
        </w:rPr>
        <w:t xml:space="preserve"> установлен в </w:t>
      </w:r>
      <w:proofErr w:type="gramStart"/>
      <w:r w:rsidR="009823EC">
        <w:rPr>
          <w:color w:val="000000"/>
          <w:sz w:val="28"/>
          <w:szCs w:val="28"/>
        </w:rPr>
        <w:t xml:space="preserve">соответствии </w:t>
      </w:r>
      <w:r w:rsidRPr="009D6975">
        <w:rPr>
          <w:color w:val="000000"/>
          <w:sz w:val="28"/>
          <w:szCs w:val="28"/>
        </w:rPr>
        <w:t xml:space="preserve"> в</w:t>
      </w:r>
      <w:proofErr w:type="gramEnd"/>
      <w:r w:rsidRPr="009D6975">
        <w:rPr>
          <w:color w:val="000000"/>
          <w:sz w:val="28"/>
          <w:szCs w:val="28"/>
        </w:rPr>
        <w:t xml:space="preserve"> зависимости от Т1 и Т2 для одного из рассмотренных выше потребителей.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9"/>
        <w:gridCol w:w="971"/>
        <w:gridCol w:w="910"/>
        <w:gridCol w:w="1478"/>
        <w:gridCol w:w="1038"/>
        <w:gridCol w:w="1065"/>
        <w:gridCol w:w="1349"/>
        <w:gridCol w:w="1571"/>
      </w:tblGrid>
      <w:tr w:rsidR="001A7028">
        <w:tc>
          <w:tcPr>
            <w:tcW w:w="9571" w:type="dxa"/>
            <w:gridSpan w:val="8"/>
          </w:tcPr>
          <w:p w:rsidR="001A7028" w:rsidRPr="001A7028" w:rsidRDefault="001A7028" w:rsidP="001A702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1A7028">
              <w:rPr>
                <w:rFonts w:ascii="Arial" w:hAnsi="Arial"/>
                <w:color w:val="000000"/>
                <w:sz w:val="16"/>
                <w:szCs w:val="16"/>
              </w:rPr>
              <w:t>Определение</w:t>
            </w:r>
            <w:r w:rsidRPr="001A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A7028">
              <w:rPr>
                <w:rFonts w:ascii="Arial" w:hAnsi="Arial"/>
                <w:color w:val="000000"/>
                <w:sz w:val="16"/>
                <w:szCs w:val="16"/>
              </w:rPr>
              <w:t>размера</w:t>
            </w:r>
            <w:r w:rsidRPr="001A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A7028">
              <w:rPr>
                <w:rFonts w:ascii="Arial" w:hAnsi="Arial"/>
                <w:color w:val="000000"/>
                <w:sz w:val="16"/>
                <w:szCs w:val="16"/>
              </w:rPr>
              <w:t>неустойки</w:t>
            </w:r>
          </w:p>
          <w:p w:rsidR="001A7028" w:rsidRDefault="001A7028" w:rsidP="00DF1605">
            <w:pPr>
              <w:jc w:val="both"/>
              <w:rPr>
                <w:color w:val="000000"/>
              </w:rPr>
            </w:pP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proofErr w:type="gramStart"/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1,%</w:t>
            </w:r>
            <w:proofErr w:type="gramEnd"/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2. %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Соответствие требованиям ГОСТ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 (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норм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), %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 (95</w:t>
            </w:r>
            <w:proofErr w:type="gramStart"/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%),</w:t>
            </w:r>
            <w:r w:rsidR="000F66E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proofErr w:type="gramEnd"/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Выполнение договорных обязательств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Размер неустойки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*, %</w:t>
            </w:r>
          </w:p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ОТ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СТОИМОСТИ</w:t>
            </w:r>
          </w:p>
          <w:p w:rsidR="001A7028" w:rsidRPr="000F66EE" w:rsidRDefault="009823EC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Э</w:t>
            </w:r>
            <w:r w:rsidR="001A7028" w:rsidRPr="000F66EE">
              <w:rPr>
                <w:rFonts w:ascii="Arial" w:hAnsi="Arial"/>
                <w:color w:val="000000"/>
                <w:sz w:val="18"/>
                <w:szCs w:val="18"/>
              </w:rPr>
              <w:t>лектроэнергии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2"/>
                <w:sz w:val="18"/>
                <w:szCs w:val="18"/>
              </w:rPr>
              <w:object w:dxaOrig="460" w:dyaOrig="360">
                <v:shape id="_x0000_i1090" type="#_x0000_t75" style="width:23.25pt;height:18pt" o:ole="">
                  <v:imagedata r:id="rId58" o:title=""/>
                </v:shape>
                <o:OLEObject Type="Embed" ProgID="Equation.DSMT4" ShapeID="_x0000_i1090" DrawAspect="Content" ObjectID="_1458983841" r:id="rId118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gramEnd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2"/>
                <w:sz w:val="18"/>
                <w:szCs w:val="18"/>
              </w:rPr>
              <w:object w:dxaOrig="380" w:dyaOrig="360">
                <v:shape id="_x0000_i1091" type="#_x0000_t75" style="width:18.75pt;height:18pt" o:ole="">
                  <v:imagedata r:id="rId69" o:title=""/>
                </v:shape>
                <o:OLEObject Type="Embed" ProgID="Equation.DSMT4" ShapeID="_x0000_i1091" DrawAspect="Content" ObjectID="_1458983842" r:id="rId119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 &gt;5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  <w:proofErr w:type="gramEnd"/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2" type="#_x0000_t75" style="width:27.75pt;height:18.75pt" o:ole="">
                  <v:imagedata r:id="rId85" o:title=""/>
                </v:shape>
                <o:OLEObject Type="Embed" ProgID="Equation.DSMT4" ShapeID="_x0000_i1092" DrawAspect="Content" ObjectID="_1458983843" r:id="rId120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ФВЛ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gramEnd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A7028" w:rsidRPr="000F66EE">
        <w:tc>
          <w:tcPr>
            <w:tcW w:w="1189" w:type="dxa"/>
            <w:vAlign w:val="center"/>
          </w:tcPr>
          <w:p w:rsidR="001A7028" w:rsidRPr="000F66EE" w:rsidRDefault="001A7028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3" type="#_x0000_t75" style="width:27.75pt;height:18.75pt" o:ole="">
                  <v:imagedata r:id="rId88" o:title=""/>
                </v:shape>
                <o:OLEObject Type="Embed" ProgID="Equation.DSMT4" ShapeID="_x0000_i1093" DrawAspect="Content" ObjectID="_1458983844" r:id="rId121"/>
              </w:object>
            </w:r>
          </w:p>
        </w:tc>
        <w:tc>
          <w:tcPr>
            <w:tcW w:w="982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70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49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gramEnd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1A7028" w:rsidRPr="000F66EE" w:rsidRDefault="001A7028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4" type="#_x0000_t75" style="width:27.75pt;height:18.75pt" o:ole="">
                  <v:imagedata r:id="rId92" o:title=""/>
                </v:shape>
                <o:OLEObject Type="Embed" ProgID="Equation.DSMT4" ShapeID="_x0000_i1094" DrawAspect="Content" ObjectID="_1458983845" r:id="rId122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1&gt;5%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иТ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  <w:proofErr w:type="gramEnd"/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560" w:dyaOrig="380">
                <v:shape id="_x0000_i1095" type="#_x0000_t75" style="width:27.75pt;height:18.75pt" o:ole="">
                  <v:imagedata r:id="rId96" o:title=""/>
                </v:shape>
                <o:OLEObject Type="Embed" ProgID="Equation.DSMT4" ShapeID="_x0000_i1095" DrawAspect="Content" ObjectID="_1458983846" r:id="rId123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 xml:space="preserve">соответствует </w:t>
            </w:r>
            <w:r w:rsidRPr="000F66EE">
              <w:rPr>
                <w:rFonts w:ascii="Arial" w:hAnsi="Arial"/>
                <w:b/>
                <w:color w:val="000000"/>
                <w:sz w:val="18"/>
                <w:szCs w:val="18"/>
              </w:rPr>
              <w:t>Т</w:t>
            </w:r>
            <w:r w:rsidRPr="000F66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2&gt;0%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gramEnd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-2.0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600" w:dyaOrig="380">
                <v:shape id="_x0000_i1096" type="#_x0000_t75" style="width:30pt;height:18.75pt" o:ole="">
                  <v:imagedata r:id="rId104" o:title=""/>
                </v:shape>
                <o:OLEObject Type="Embed" ProgID="Equation.DSMT4" ShapeID="_x0000_i1096" DrawAspect="Content" ObjectID="_1458983847" r:id="rId124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  <w:proofErr w:type="gramEnd"/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  <w:r w:rsidRPr="000F66EE">
              <w:rPr>
                <w:color w:val="000000"/>
                <w:position w:val="-14"/>
                <w:sz w:val="18"/>
                <w:szCs w:val="18"/>
              </w:rPr>
              <w:object w:dxaOrig="620" w:dyaOrig="380">
                <v:shape id="_x0000_i1097" type="#_x0000_t75" style="width:30.75pt;height:18.75pt" o:ole="">
                  <v:imagedata r:id="rId106" o:title=""/>
                </v:shape>
                <o:OLEObject Type="Embed" ProgID="Equation.DSMT4" ShapeID="_x0000_i1097" DrawAspect="Content" ObjectID="_1458983848" r:id="rId125"/>
              </w:object>
            </w: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ФВП</w:t>
            </w: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gramEnd"/>
            <w:r w:rsidRPr="000F66EE">
              <w:rPr>
                <w:rFonts w:ascii="Arial" w:hAnsi="Arial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66EE" w:rsidRPr="000F66EE">
        <w:tc>
          <w:tcPr>
            <w:tcW w:w="1189" w:type="dxa"/>
            <w:vAlign w:val="center"/>
          </w:tcPr>
          <w:p w:rsidR="000F66EE" w:rsidRPr="000F66EE" w:rsidRDefault="000F66EE" w:rsidP="000F66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sz w:val="18"/>
                <w:szCs w:val="18"/>
              </w:rPr>
              <w:t>Итого:</w:t>
            </w:r>
          </w:p>
        </w:tc>
        <w:tc>
          <w:tcPr>
            <w:tcW w:w="1533" w:type="dxa"/>
            <w:vAlign w:val="center"/>
          </w:tcPr>
          <w:p w:rsidR="000F66EE" w:rsidRPr="000F66EE" w:rsidRDefault="000F66EE" w:rsidP="000F66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F66EE">
              <w:rPr>
                <w:rFonts w:ascii="Arial" w:hAnsi="Arial"/>
                <w:sz w:val="18"/>
                <w:szCs w:val="18"/>
              </w:rPr>
              <w:t>5,2</w:t>
            </w:r>
          </w:p>
        </w:tc>
      </w:tr>
    </w:tbl>
    <w:p w:rsidR="00AB068B" w:rsidRDefault="00DF1605" w:rsidP="00AB06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7D6F17">
        <w:rPr>
          <w:color w:val="000000"/>
          <w:sz w:val="20"/>
          <w:szCs w:val="20"/>
        </w:rPr>
        <w:t>* - Если потребитель невиновен в ухудшении КЭ (ФВ</w:t>
      </w:r>
      <w:r w:rsidR="00AB068B">
        <w:rPr>
          <w:color w:val="000000"/>
          <w:sz w:val="20"/>
          <w:szCs w:val="20"/>
        </w:rPr>
        <w:t>П</w:t>
      </w:r>
      <w:r w:rsidR="00AB068B" w:rsidRPr="00AB068B">
        <w:rPr>
          <w:color w:val="000000"/>
          <w:sz w:val="20"/>
          <w:szCs w:val="20"/>
        </w:rPr>
        <w:t>&lt;</w:t>
      </w:r>
      <w:r w:rsidRPr="007D6F17">
        <w:rPr>
          <w:color w:val="000000"/>
          <w:sz w:val="20"/>
          <w:szCs w:val="20"/>
        </w:rPr>
        <w:t>ДВП), о</w:t>
      </w:r>
      <w:r w:rsidR="00AB068B">
        <w:rPr>
          <w:color w:val="000000"/>
          <w:sz w:val="20"/>
          <w:szCs w:val="20"/>
        </w:rPr>
        <w:t>н</w:t>
      </w:r>
      <w:r w:rsidRPr="007D6F17">
        <w:rPr>
          <w:color w:val="000000"/>
          <w:sz w:val="20"/>
          <w:szCs w:val="20"/>
        </w:rPr>
        <w:t xml:space="preserve"> получа</w:t>
      </w:r>
      <w:r w:rsidR="00AB068B">
        <w:rPr>
          <w:color w:val="000000"/>
          <w:sz w:val="20"/>
          <w:szCs w:val="20"/>
        </w:rPr>
        <w:t>ет</w:t>
      </w:r>
      <w:r w:rsidRPr="007D6F17">
        <w:rPr>
          <w:color w:val="000000"/>
          <w:sz w:val="20"/>
          <w:szCs w:val="20"/>
        </w:rPr>
        <w:t xml:space="preserve"> </w:t>
      </w:r>
      <w:r w:rsidR="00AB068B">
        <w:rPr>
          <w:color w:val="000000"/>
          <w:sz w:val="20"/>
          <w:szCs w:val="20"/>
        </w:rPr>
        <w:t>скидку, в этом случаи</w:t>
      </w:r>
    </w:p>
    <w:p w:rsidR="00DF1605" w:rsidRPr="00DF1605" w:rsidRDefault="00DF1605" w:rsidP="00AB068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7D6F17">
        <w:rPr>
          <w:color w:val="000000"/>
          <w:sz w:val="20"/>
          <w:szCs w:val="20"/>
        </w:rPr>
        <w:t xml:space="preserve"> </w:t>
      </w:r>
      <w:proofErr w:type="gramStart"/>
      <w:r w:rsidRPr="007D6F17">
        <w:rPr>
          <w:color w:val="000000"/>
          <w:sz w:val="20"/>
          <w:szCs w:val="20"/>
        </w:rPr>
        <w:t>неустойка</w:t>
      </w:r>
      <w:proofErr w:type="gramEnd"/>
      <w:r w:rsidRPr="007D6F17">
        <w:rPr>
          <w:color w:val="000000"/>
          <w:sz w:val="20"/>
          <w:szCs w:val="20"/>
        </w:rPr>
        <w:t xml:space="preserve"> имеет знак минус</w:t>
      </w:r>
      <w:r w:rsidR="00AB068B">
        <w:rPr>
          <w:color w:val="000000"/>
          <w:sz w:val="20"/>
          <w:szCs w:val="20"/>
        </w:rPr>
        <w:t>. В противном случае (ФВП&gt;ДВП) – надбавка и знак плюс.</w:t>
      </w:r>
    </w:p>
    <w:p w:rsidR="009D6975" w:rsidRDefault="009D6975" w:rsidP="009D697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F1605" w:rsidRPr="009D6975" w:rsidRDefault="00DF1605" w:rsidP="009D6975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9D6975">
        <w:rPr>
          <w:color w:val="000000"/>
          <w:sz w:val="28"/>
          <w:szCs w:val="28"/>
        </w:rPr>
        <w:t>Как видно из табл. 2, в каждом конкретном случае могут возникать ситуации, когда потребитель получает скидку по одному показателю и надбавку по другому. В случае, если требования ГОСТа не нарушены (</w:t>
      </w:r>
      <w:r w:rsidR="00AB068B" w:rsidRPr="009D6975">
        <w:rPr>
          <w:color w:val="000000"/>
          <w:position w:val="-14"/>
          <w:sz w:val="28"/>
          <w:szCs w:val="28"/>
        </w:rPr>
        <w:object w:dxaOrig="600" w:dyaOrig="380">
          <v:shape id="_x0000_i1098" type="#_x0000_t75" style="width:30pt;height:18.75pt" o:ole="">
            <v:imagedata r:id="rId104" o:title=""/>
          </v:shape>
          <o:OLEObject Type="Embed" ProgID="Equation.DSMT4" ShapeID="_x0000_i1098" DrawAspect="Content" ObjectID="_1458983849" r:id="rId126"/>
        </w:object>
      </w:r>
      <w:r w:rsidRPr="009D6975">
        <w:rPr>
          <w:color w:val="000000"/>
          <w:sz w:val="28"/>
          <w:szCs w:val="28"/>
        </w:rPr>
        <w:t>), предъявлять претензии к невыполнению договорных условий нет необходимости, но обратить внимание виновной стороны на данный факт необходимо. Суммарный размер неустойки в виде надбавки к стоимости электроэнергии составил 5,2%. Полученный размер надбавки следует распространить на весь объем электроэнергии, отпущенной в течение всего периода расчетов за потребленную электроэнергию, до следующего измерения.</w:t>
      </w:r>
    </w:p>
    <w:p w:rsidR="009823EC" w:rsidRPr="00DF1605" w:rsidRDefault="00DF1605" w:rsidP="009823EC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</w:pPr>
      <w:r w:rsidRPr="009D6975">
        <w:rPr>
          <w:b/>
          <w:bCs/>
          <w:color w:val="000000"/>
          <w:sz w:val="28"/>
          <w:szCs w:val="28"/>
        </w:rPr>
        <w:br w:type="page"/>
      </w:r>
    </w:p>
    <w:p w:rsidR="00DF1605" w:rsidRPr="00DF1605" w:rsidRDefault="00DF1605" w:rsidP="00DF1605">
      <w:pPr>
        <w:ind w:firstLine="709"/>
        <w:jc w:val="both"/>
      </w:pPr>
    </w:p>
    <w:sectPr w:rsidR="00DF1605" w:rsidRPr="00DF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70F"/>
    <w:multiLevelType w:val="hybridMultilevel"/>
    <w:tmpl w:val="EA7633A8"/>
    <w:lvl w:ilvl="0" w:tplc="DDB2A1DA">
      <w:start w:val="1"/>
      <w:numFmt w:val="bullet"/>
      <w:lvlText w:val=""/>
      <w:lvlJc w:val="left"/>
      <w:pPr>
        <w:tabs>
          <w:tab w:val="num" w:pos="284"/>
        </w:tabs>
        <w:ind w:left="34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875E3"/>
    <w:multiLevelType w:val="hybridMultilevel"/>
    <w:tmpl w:val="C5EEB526"/>
    <w:lvl w:ilvl="0" w:tplc="EC9A8196">
      <w:start w:val="1"/>
      <w:numFmt w:val="bullet"/>
      <w:lvlText w:val=""/>
      <w:lvlJc w:val="left"/>
      <w:pPr>
        <w:tabs>
          <w:tab w:val="num" w:pos="692"/>
        </w:tabs>
        <w:ind w:left="737" w:hanging="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B5CB7"/>
    <w:multiLevelType w:val="multilevel"/>
    <w:tmpl w:val="0038BE94"/>
    <w:lvl w:ilvl="0">
      <w:start w:val="1"/>
      <w:numFmt w:val="bullet"/>
      <w:lvlText w:val=""/>
      <w:lvlJc w:val="left"/>
      <w:pPr>
        <w:tabs>
          <w:tab w:val="num" w:pos="680"/>
        </w:tabs>
        <w:ind w:left="73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2520D"/>
    <w:multiLevelType w:val="hybridMultilevel"/>
    <w:tmpl w:val="002A9E10"/>
    <w:lvl w:ilvl="0" w:tplc="4554FFFA">
      <w:start w:val="1"/>
      <w:numFmt w:val="bullet"/>
      <w:lvlText w:val=""/>
      <w:lvlJc w:val="left"/>
      <w:pPr>
        <w:tabs>
          <w:tab w:val="num" w:pos="510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85F9E"/>
    <w:multiLevelType w:val="hybridMultilevel"/>
    <w:tmpl w:val="0038BE94"/>
    <w:lvl w:ilvl="0" w:tplc="D4ECE342">
      <w:start w:val="1"/>
      <w:numFmt w:val="bullet"/>
      <w:lvlText w:val=""/>
      <w:lvlJc w:val="left"/>
      <w:pPr>
        <w:tabs>
          <w:tab w:val="num" w:pos="680"/>
        </w:tabs>
        <w:ind w:left="73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7D96"/>
    <w:rsid w:val="00014236"/>
    <w:rsid w:val="000266D7"/>
    <w:rsid w:val="00073B4A"/>
    <w:rsid w:val="000B1D7D"/>
    <w:rsid w:val="000F66EE"/>
    <w:rsid w:val="001306E1"/>
    <w:rsid w:val="0016759C"/>
    <w:rsid w:val="001A7028"/>
    <w:rsid w:val="0023259E"/>
    <w:rsid w:val="0024130E"/>
    <w:rsid w:val="00283471"/>
    <w:rsid w:val="00343360"/>
    <w:rsid w:val="003F255C"/>
    <w:rsid w:val="00432959"/>
    <w:rsid w:val="004C7AF1"/>
    <w:rsid w:val="004E05AC"/>
    <w:rsid w:val="004E1C6D"/>
    <w:rsid w:val="004E615D"/>
    <w:rsid w:val="00516EDF"/>
    <w:rsid w:val="00532FF1"/>
    <w:rsid w:val="00576121"/>
    <w:rsid w:val="00580D56"/>
    <w:rsid w:val="00665007"/>
    <w:rsid w:val="00671BAB"/>
    <w:rsid w:val="006A569E"/>
    <w:rsid w:val="0070207A"/>
    <w:rsid w:val="00717576"/>
    <w:rsid w:val="007711A5"/>
    <w:rsid w:val="007A3899"/>
    <w:rsid w:val="007D6F17"/>
    <w:rsid w:val="00807CF2"/>
    <w:rsid w:val="00816FC7"/>
    <w:rsid w:val="00893D21"/>
    <w:rsid w:val="008C42F7"/>
    <w:rsid w:val="009823EC"/>
    <w:rsid w:val="009D6975"/>
    <w:rsid w:val="00A30E2F"/>
    <w:rsid w:val="00A81584"/>
    <w:rsid w:val="00AB068B"/>
    <w:rsid w:val="00AB4E6F"/>
    <w:rsid w:val="00AD0D6E"/>
    <w:rsid w:val="00B12D57"/>
    <w:rsid w:val="00B261C7"/>
    <w:rsid w:val="00B575CC"/>
    <w:rsid w:val="00BC3782"/>
    <w:rsid w:val="00C41D91"/>
    <w:rsid w:val="00C47D96"/>
    <w:rsid w:val="00C6620B"/>
    <w:rsid w:val="00C7433D"/>
    <w:rsid w:val="00CB4D37"/>
    <w:rsid w:val="00CD3ED3"/>
    <w:rsid w:val="00D144AE"/>
    <w:rsid w:val="00DC188E"/>
    <w:rsid w:val="00DD0500"/>
    <w:rsid w:val="00DF1605"/>
    <w:rsid w:val="00ED4149"/>
    <w:rsid w:val="00F53997"/>
    <w:rsid w:val="00F96A29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F0AB2-0DD7-4754-8FC1-FF0D9E0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6.wmf"/><Relationship Id="rId16" Type="http://schemas.openxmlformats.org/officeDocument/2006/relationships/image" Target="media/image7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71.bin"/><Relationship Id="rId128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6.bin"/><Relationship Id="rId126" Type="http://schemas.openxmlformats.org/officeDocument/2006/relationships/oleObject" Target="embeddings/oleObject7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4.wmf"/><Relationship Id="rId116" Type="http://schemas.openxmlformats.org/officeDocument/2006/relationships/image" Target="media/image48.wmf"/><Relationship Id="rId124" Type="http://schemas.openxmlformats.org/officeDocument/2006/relationships/oleObject" Target="embeddings/oleObject7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91" Type="http://schemas.openxmlformats.org/officeDocument/2006/relationships/oleObject" Target="embeddings/oleObject50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3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67.bin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4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ilke</Company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Леонид Фетисов</cp:lastModifiedBy>
  <cp:revision>2</cp:revision>
  <dcterms:created xsi:type="dcterms:W3CDTF">2014-04-14T08:29:00Z</dcterms:created>
  <dcterms:modified xsi:type="dcterms:W3CDTF">2014-04-14T08:29:00Z</dcterms:modified>
</cp:coreProperties>
</file>