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73" w:rsidRPr="00387673" w:rsidRDefault="00387673" w:rsidP="0038767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387673">
        <w:rPr>
          <w:rFonts w:ascii="Times New Roman" w:eastAsia="Times New Roman" w:hAnsi="Times New Roman" w:cs="Times New Roman"/>
          <w:noProof/>
          <w:color w:val="000000"/>
          <w:kern w:val="2"/>
          <w:lang w:eastAsia="ru-RU"/>
        </w:rPr>
        <w:drawing>
          <wp:anchor distT="0" distB="0" distL="114300" distR="114300" simplePos="0" relativeHeight="251659264" behindDoc="1" locked="0" layoutInCell="1" allowOverlap="1" wp14:anchorId="1F182D07" wp14:editId="7D841BF0">
            <wp:simplePos x="0" y="0"/>
            <wp:positionH relativeFrom="column">
              <wp:posOffset>-669925</wp:posOffset>
            </wp:positionH>
            <wp:positionV relativeFrom="paragraph">
              <wp:posOffset>142240</wp:posOffset>
            </wp:positionV>
            <wp:extent cx="720725" cy="735330"/>
            <wp:effectExtent l="0" t="0" r="10795" b="11430"/>
            <wp:wrapNone/>
            <wp:docPr id="2" name="Изображение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Безымянный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МИНИСТЕРСТВО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НАУКИ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И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ВЫСШЕГО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ОБРАЗОВАНИЯ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РОССИЙСКОЙ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ФЕДЕРАЦИИ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38767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Федеральное</w:t>
      </w:r>
      <w:r w:rsidR="0057463C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государственное</w:t>
      </w:r>
      <w:r w:rsidR="0057463C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бюджетное</w:t>
      </w:r>
      <w:r w:rsidR="0057463C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образовательное</w:t>
      </w:r>
      <w:r w:rsidR="0057463C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учреждение</w:t>
      </w:r>
      <w:r w:rsidR="0057463C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38767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высшего</w:t>
      </w:r>
      <w:r w:rsidR="0057463C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образования</w:t>
      </w:r>
      <w:r w:rsidR="0057463C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38767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«КАЗАНСКИЙ</w:t>
      </w:r>
      <w:r w:rsidR="0057463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ГОСУДАРСТВЕННЫЙ</w:t>
      </w:r>
      <w:r w:rsidR="0057463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ЭНЕРГЕТИЧЕСКИЙ</w:t>
      </w:r>
      <w:r w:rsidR="0057463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УНИВЕРСИТЕТ»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(ФГБОУ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ВО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«КГЭУ»)</w:t>
      </w:r>
      <w:r w:rsidR="0057463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wordWrap w:val="0"/>
        <w:spacing w:after="0"/>
        <w:jc w:val="right"/>
        <w:rPr>
          <w:rFonts w:ascii="Times New Roman" w:eastAsia="Tahoma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Кафедра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387673">
        <w:rPr>
          <w:rFonts w:ascii="Times New Roman" w:eastAsia="Tahoma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«Экономика</w:t>
      </w:r>
      <w:r w:rsidR="0057463C">
        <w:rPr>
          <w:rFonts w:ascii="Times New Roman" w:eastAsia="Tahoma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387673">
        <w:rPr>
          <w:rFonts w:ascii="Times New Roman" w:eastAsia="Tahoma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и</w:t>
      </w:r>
      <w:r w:rsidR="0057463C">
        <w:rPr>
          <w:rFonts w:ascii="Times New Roman" w:eastAsia="Tahoma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387673">
        <w:rPr>
          <w:rFonts w:ascii="Times New Roman" w:eastAsia="Tahoma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организация</w:t>
      </w:r>
      <w:r w:rsidR="0057463C">
        <w:rPr>
          <w:rFonts w:ascii="Times New Roman" w:eastAsia="Tahoma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wordWrap w:val="0"/>
        <w:spacing w:after="0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387673">
        <w:rPr>
          <w:rFonts w:ascii="Times New Roman" w:eastAsia="Tahoma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производства»</w:t>
      </w: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0"/>
          <w:lang w:eastAsia="zh-CN"/>
        </w:rPr>
      </w:pPr>
    </w:p>
    <w:p w:rsidR="00387673" w:rsidRPr="00387673" w:rsidRDefault="00387673" w:rsidP="003876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Контрольная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работа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по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дисциплине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«Оценка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="00587D46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бизнеса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»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на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тему: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«Временная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оценка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денежных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</w:t>
      </w:r>
      <w:r w:rsidRPr="00387673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потоков»</w:t>
      </w:r>
      <w:r w:rsidR="0057463C"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 xml:space="preserve">  </w:t>
      </w:r>
    </w:p>
    <w:p w:rsidR="00387673" w:rsidRPr="00387673" w:rsidRDefault="0057463C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  <w:t>Вариант- 5</w:t>
      </w:r>
    </w:p>
    <w:p w:rsidR="00387673" w:rsidRPr="00387673" w:rsidRDefault="00387673" w:rsidP="0038767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0"/>
          <w:lang w:eastAsia="zh-CN"/>
        </w:rPr>
      </w:pPr>
    </w:p>
    <w:tbl>
      <w:tblPr>
        <w:tblStyle w:val="11"/>
        <w:tblW w:w="97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4933"/>
      </w:tblGrid>
      <w:tr w:rsidR="00387673" w:rsidRPr="00387673" w:rsidTr="0057463C">
        <w:tc>
          <w:tcPr>
            <w:tcW w:w="4790" w:type="dxa"/>
          </w:tcPr>
          <w:p w:rsidR="00387673" w:rsidRPr="00387673" w:rsidRDefault="00387673" w:rsidP="00387673">
            <w:pPr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933" w:type="dxa"/>
          </w:tcPr>
          <w:p w:rsidR="00387673" w:rsidRPr="00387673" w:rsidRDefault="00387673" w:rsidP="00387673">
            <w:pPr>
              <w:spacing w:line="360" w:lineRule="auto"/>
              <w:rPr>
                <w:kern w:val="2"/>
                <w:sz w:val="28"/>
                <w:szCs w:val="28"/>
                <w:lang w:eastAsia="zh-CN"/>
              </w:rPr>
            </w:pPr>
            <w:r w:rsidRPr="00387673">
              <w:rPr>
                <w:kern w:val="2"/>
                <w:sz w:val="28"/>
                <w:szCs w:val="28"/>
                <w:lang w:eastAsia="zh-CN"/>
              </w:rPr>
              <w:t>Выполнил</w:t>
            </w:r>
            <w:r w:rsidR="0057463C">
              <w:rPr>
                <w:kern w:val="2"/>
                <w:sz w:val="28"/>
                <w:szCs w:val="28"/>
                <w:lang w:eastAsia="zh-CN"/>
              </w:rPr>
              <w:t>а</w:t>
            </w:r>
            <w:r w:rsidRPr="00387673">
              <w:rPr>
                <w:kern w:val="2"/>
                <w:sz w:val="28"/>
                <w:szCs w:val="28"/>
                <w:lang w:eastAsia="zh-CN"/>
              </w:rPr>
              <w:t>:</w:t>
            </w:r>
            <w:r w:rsidR="0057463C">
              <w:rPr>
                <w:kern w:val="2"/>
                <w:sz w:val="28"/>
                <w:szCs w:val="28"/>
                <w:lang w:eastAsia="zh-CN"/>
              </w:rPr>
              <w:t xml:space="preserve"> Васильева Р.Н</w:t>
            </w:r>
          </w:p>
          <w:p w:rsidR="00387673" w:rsidRPr="00387673" w:rsidRDefault="00387673" w:rsidP="00387673">
            <w:pPr>
              <w:spacing w:line="360" w:lineRule="auto"/>
              <w:rPr>
                <w:kern w:val="2"/>
                <w:sz w:val="28"/>
                <w:szCs w:val="28"/>
                <w:lang w:eastAsia="zh-CN"/>
              </w:rPr>
            </w:pPr>
            <w:r w:rsidRPr="00387673">
              <w:rPr>
                <w:kern w:val="2"/>
                <w:sz w:val="28"/>
                <w:szCs w:val="28"/>
                <w:lang w:eastAsia="zh-CN"/>
              </w:rPr>
              <w:t>Группа:</w:t>
            </w:r>
            <w:r w:rsidR="0057463C">
              <w:rPr>
                <w:kern w:val="2"/>
                <w:sz w:val="28"/>
                <w:szCs w:val="28"/>
                <w:lang w:eastAsia="zh-CN"/>
              </w:rPr>
              <w:t xml:space="preserve"> ЗЭКПу-1-18 </w:t>
            </w:r>
          </w:p>
          <w:p w:rsidR="00387673" w:rsidRPr="00387673" w:rsidRDefault="00387673" w:rsidP="00387673">
            <w:pPr>
              <w:spacing w:line="360" w:lineRule="auto"/>
              <w:rPr>
                <w:kern w:val="2"/>
                <w:sz w:val="28"/>
                <w:szCs w:val="28"/>
                <w:lang w:eastAsia="zh-CN"/>
              </w:rPr>
            </w:pPr>
            <w:r w:rsidRPr="00387673">
              <w:rPr>
                <w:kern w:val="2"/>
                <w:sz w:val="28"/>
                <w:szCs w:val="28"/>
                <w:lang w:eastAsia="zh-CN"/>
              </w:rPr>
              <w:t>Преподаватель:</w:t>
            </w:r>
            <w:r w:rsidR="0057463C">
              <w:rPr>
                <w:kern w:val="2"/>
                <w:sz w:val="28"/>
                <w:szCs w:val="28"/>
                <w:lang w:eastAsia="zh-CN"/>
              </w:rPr>
              <w:t xml:space="preserve"> </w:t>
            </w:r>
            <w:r w:rsidRPr="00387673">
              <w:rPr>
                <w:kern w:val="2"/>
                <w:sz w:val="28"/>
                <w:szCs w:val="28"/>
                <w:lang w:eastAsia="zh-CN"/>
              </w:rPr>
              <w:t>Юдина</w:t>
            </w:r>
            <w:r w:rsidR="0057463C">
              <w:rPr>
                <w:kern w:val="2"/>
                <w:sz w:val="28"/>
                <w:szCs w:val="28"/>
                <w:lang w:eastAsia="zh-CN"/>
              </w:rPr>
              <w:t xml:space="preserve"> </w:t>
            </w:r>
            <w:r w:rsidRPr="00387673">
              <w:rPr>
                <w:kern w:val="2"/>
                <w:sz w:val="28"/>
                <w:szCs w:val="28"/>
                <w:lang w:eastAsia="zh-CN"/>
              </w:rPr>
              <w:t>Н.А.</w:t>
            </w:r>
          </w:p>
        </w:tc>
      </w:tr>
    </w:tbl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387673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387673" w:rsidRPr="00387673" w:rsidRDefault="0057463C" w:rsidP="00387673">
      <w:pPr>
        <w:widowControl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387673" w:rsidRPr="00387673" w:rsidRDefault="00387673" w:rsidP="00387673">
      <w:pPr>
        <w:widowControl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sectPr w:rsidR="00387673" w:rsidRPr="00387673" w:rsidSect="00AC0EC7">
          <w:foot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Казань,</w:t>
      </w:r>
      <w:r w:rsidR="0057463C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2021</w:t>
      </w:r>
      <w:bookmarkStart w:id="0" w:name="_GoBack"/>
      <w:bookmarkEnd w:id="0"/>
    </w:p>
    <w:sdt>
      <w:sdtPr>
        <w:id w:val="13664016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57463C" w:rsidRDefault="0057463C" w:rsidP="0057463C">
          <w:pPr>
            <w:pStyle w:val="a5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7463C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587D46" w:rsidRPr="00587D46" w:rsidRDefault="00587D46" w:rsidP="00587D46">
          <w:pPr>
            <w:rPr>
              <w:lang w:eastAsia="ru-RU"/>
            </w:rPr>
          </w:pPr>
        </w:p>
        <w:p w:rsidR="0057463C" w:rsidRPr="0057463C" w:rsidRDefault="0057463C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027524" w:history="1">
            <w:r w:rsidRPr="0057463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</w:t>
            </w:r>
            <w:r w:rsidRPr="0057463C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57463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Теоретические основы управления денежными потоками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_Toc90027524 \h </w:instrTex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463C" w:rsidRPr="0057463C" w:rsidRDefault="0057463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027525" w:history="1">
            <w:r w:rsidRPr="0057463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</w:t>
            </w:r>
            <w:r w:rsidRPr="0057463C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57463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Основы анализа денежных потоков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_Toc90027525 \h </w:instrTex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463C" w:rsidRPr="0057463C" w:rsidRDefault="0057463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027526" w:history="1">
            <w:r>
              <w:rPr>
                <w:rStyle w:val="a6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1.2    </w:t>
            </w:r>
            <w:r w:rsidRPr="0057463C">
              <w:rPr>
                <w:rStyle w:val="a6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Классификация денежных потоков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_Toc90027526 \h </w:instrTex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463C" w:rsidRPr="0057463C" w:rsidRDefault="0057463C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027527" w:history="1">
            <w:r w:rsidRPr="0057463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2- Практическая часть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_Toc90027527 \h </w:instrTex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463C" w:rsidRPr="0057463C" w:rsidRDefault="0057463C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027528" w:history="1">
            <w:r w:rsidRPr="0057463C">
              <w:rPr>
                <w:rStyle w:val="a6"/>
                <w:rFonts w:ascii="Times New Roman" w:hAnsi="Times New Roman" w:cs="Times New Roman"/>
                <w:iCs/>
                <w:noProof/>
                <w:sz w:val="28"/>
                <w:szCs w:val="28"/>
              </w:rPr>
              <w:t>ЗАКЛЮЧЕНИЕ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_Toc90027528 \h </w:instrTex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463C" w:rsidRDefault="0057463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90027529" w:history="1">
            <w:r w:rsidRPr="0057463C">
              <w:rPr>
                <w:rStyle w:val="a6"/>
                <w:rFonts w:ascii="Times New Roman" w:hAnsi="Times New Roman" w:cs="Times New Roman"/>
                <w:iCs/>
                <w:noProof/>
                <w:sz w:val="28"/>
                <w:szCs w:val="28"/>
              </w:rPr>
              <w:t>СПИСОК ИСПОЛЬЗУЕМОЙ ЛИТЕРАТУРЫ: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_Toc90027529 \h </w:instrTex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5746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463C" w:rsidRDefault="0057463C">
          <w:r>
            <w:rPr>
              <w:b/>
              <w:bCs/>
            </w:rPr>
            <w:fldChar w:fldCharType="end"/>
          </w:r>
        </w:p>
      </w:sdtContent>
    </w:sdt>
    <w:p w:rsidR="0057463C" w:rsidRDefault="0057463C" w:rsidP="00387673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387673" w:rsidRDefault="00387673" w:rsidP="00387673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ВВЕДЕНИЕ</w:t>
      </w:r>
    </w:p>
    <w:p w:rsidR="00387673" w:rsidRDefault="00387673" w:rsidP="00587D4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характеризуется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противоречивыми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явлениями,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связанными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большими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политическими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изменениями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стране,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поиском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путей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допускаются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просчеты,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привело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частому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изменению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корректировкам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нормативно-правовой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базы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законодательства.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благоприятствуют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стабильной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хозяйствующих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зачастую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неблагоприятные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условия.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предприятиях,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прошлом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промышленных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гигантах,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ухудшилось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чрезвычайным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вынуждены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сократить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приостановить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производство.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видимой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стабильности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развиваться,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достичь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преодолеть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возникшие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ними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уровень.</w:t>
      </w:r>
    </w:p>
    <w:p w:rsidR="00387673" w:rsidRDefault="00387673" w:rsidP="00587D4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отрицательные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происходят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менеджмента,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одних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хозяйствующих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невозможности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применить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других.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экономическую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используются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условиями.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финансово-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хозяйственной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деятельностью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упраздняются,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изменяются,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корректируются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7673" w:rsidRDefault="00387673" w:rsidP="00587D4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потоков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недостатка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(избытка)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средств,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источников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направлений</w:t>
      </w:r>
      <w:r w:rsidR="00574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004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использования.</w:t>
      </w:r>
    </w:p>
    <w:p w:rsidR="00387673" w:rsidRDefault="00387673" w:rsidP="00594401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7463C" w:rsidRPr="0057463C" w:rsidRDefault="0057463C" w:rsidP="0057463C">
      <w:pPr>
        <w:pStyle w:val="a4"/>
        <w:numPr>
          <w:ilvl w:val="0"/>
          <w:numId w:val="6"/>
        </w:numPr>
        <w:tabs>
          <w:tab w:val="left" w:pos="2411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90027524"/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Теоретические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денежными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потоками</w:t>
      </w:r>
      <w:bookmarkEnd w:id="1"/>
    </w:p>
    <w:p w:rsidR="0057463C" w:rsidRPr="0057463C" w:rsidRDefault="0057463C" w:rsidP="0057463C">
      <w:pPr>
        <w:pStyle w:val="a4"/>
        <w:numPr>
          <w:ilvl w:val="1"/>
          <w:numId w:val="5"/>
        </w:numPr>
        <w:tabs>
          <w:tab w:val="left" w:pos="2411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90027525"/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потоков</w:t>
      </w:r>
      <w:bookmarkEnd w:id="2"/>
    </w:p>
    <w:p w:rsidR="0057463C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3C" w:rsidRPr="001C4A62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Денежный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распределенных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генерируемых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деятельностью.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63C" w:rsidRPr="001C4A62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чрезвычайно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наличию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движению.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выпуска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закупить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сырье,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обуславливает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выбытие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проданную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продукцию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дивидендов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акционерам,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далее.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днях),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прогнозирование,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т.п.</w:t>
      </w:r>
    </w:p>
    <w:p w:rsidR="0057463C" w:rsidRPr="001C4A62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активов,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A62"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 w:rsidRPr="001C4A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причинами:</w:t>
      </w:r>
    </w:p>
    <w:p w:rsidR="0057463C" w:rsidRPr="001C4A62" w:rsidRDefault="0057463C" w:rsidP="0057463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iCs/>
          <w:sz w:val="28"/>
          <w:szCs w:val="28"/>
        </w:rPr>
        <w:t>рутинность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операций;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входящими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исходящими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лаг,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вынуждено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свободные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расчетном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счете;</w:t>
      </w:r>
    </w:p>
    <w:p w:rsidR="0057463C" w:rsidRPr="001C4A62" w:rsidRDefault="0057463C" w:rsidP="0057463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iCs/>
          <w:sz w:val="28"/>
          <w:szCs w:val="28"/>
        </w:rPr>
        <w:t>предосторожность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жестко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непредвиденных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платежей;</w:t>
      </w:r>
    </w:p>
    <w:p w:rsidR="0057463C" w:rsidRPr="001C4A62" w:rsidRDefault="0057463C" w:rsidP="0057463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iCs/>
          <w:sz w:val="28"/>
          <w:szCs w:val="28"/>
        </w:rPr>
        <w:lastRenderedPageBreak/>
        <w:t>спекулятивность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спекулятивным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соображениям,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неожиданно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представится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выгодного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инвестирования</w:t>
      </w:r>
      <w:r w:rsidRPr="001C4A6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C4A62">
        <w:rPr>
          <w:rFonts w:ascii="Times New Roman" w:hAnsi="Times New Roman" w:cs="Times New Roman"/>
          <w:sz w:val="28"/>
          <w:szCs w:val="28"/>
        </w:rPr>
        <w:t>.</w:t>
      </w:r>
    </w:p>
    <w:p w:rsidR="0057463C" w:rsidRPr="001C4A62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«денежный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агрегированным,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включающим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хозяйственную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целенаправленного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классификации.</w:t>
      </w:r>
    </w:p>
    <w:p w:rsidR="0057463C" w:rsidRPr="001C4A62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день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специфическим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товаром,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временем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изменяют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обесцениваются.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важнейшими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инф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ляцию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приносить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разумного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ин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альтернативные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проекты.</w:t>
      </w:r>
    </w:p>
    <w:p w:rsidR="0057463C" w:rsidRPr="001C4A62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Приведение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сумм,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сопостави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потоков.</w:t>
      </w:r>
    </w:p>
    <w:p w:rsidR="0057463C" w:rsidRPr="001C4A62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основана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слож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единицы.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процент.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Сложный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процент.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Дисконтирование.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Текущая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аннуитета.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Периодический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взнос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погашение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кредита.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Будущая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аннуитета.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Периодический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взнос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накопления.</w:t>
      </w:r>
    </w:p>
    <w:p w:rsidR="0057463C" w:rsidRPr="001C4A62" w:rsidRDefault="0057463C" w:rsidP="005746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базируются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допущений.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1.</w:t>
      </w:r>
      <w:r w:rsidRPr="001C4A62">
        <w:rPr>
          <w:rFonts w:ascii="Times New Roman" w:hAnsi="Times New Roman" w:cs="Times New Roman"/>
          <w:bCs/>
          <w:sz w:val="28"/>
          <w:szCs w:val="28"/>
        </w:rPr>
        <w:t>Денежный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суммы,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определен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хронологической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различаются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величине,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обычным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денежным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потоком.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равновеликие,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анну</w:t>
      </w:r>
      <w:r w:rsidRPr="001C4A62">
        <w:rPr>
          <w:rFonts w:ascii="Times New Roman" w:hAnsi="Times New Roman" w:cs="Times New Roman"/>
          <w:bCs/>
          <w:sz w:val="28"/>
          <w:szCs w:val="28"/>
        </w:rPr>
        <w:softHyphen/>
        <w:t>итетом.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одинаковые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промежутки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называемые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периодом.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возникать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конце,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середине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периода.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рассчитанные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кор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применимы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возникающему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периода.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Доход,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получаемый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инвестированный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капитал,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изымается,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присоединяется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основному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капиталу.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учитывает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риски,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инвестированием.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9.</w:t>
      </w:r>
      <w:r w:rsidRPr="001C4A62">
        <w:rPr>
          <w:rFonts w:ascii="Times New Roman" w:hAnsi="Times New Roman" w:cs="Times New Roman"/>
          <w:bCs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-это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будущем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совпадающего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прогнозной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величиной.</w:t>
      </w: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адекватную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дохода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вложен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капитал.</w:t>
      </w:r>
    </w:p>
    <w:p w:rsidR="0057463C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11.</w:t>
      </w:r>
      <w:r w:rsidRPr="001C4A62">
        <w:rPr>
          <w:rFonts w:ascii="Times New Roman" w:hAnsi="Times New Roman" w:cs="Times New Roman"/>
          <w:bCs/>
          <w:sz w:val="28"/>
          <w:szCs w:val="28"/>
        </w:rPr>
        <w:t>Ставка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дохода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процентное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меж</w:t>
      </w:r>
      <w:r w:rsidRPr="001C4A62">
        <w:rPr>
          <w:rFonts w:ascii="Times New Roman" w:hAnsi="Times New Roman" w:cs="Times New Roman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чистым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доходом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капиталом.</w:t>
      </w:r>
    </w:p>
    <w:p w:rsidR="0057463C" w:rsidRPr="001C4A62" w:rsidRDefault="0057463C" w:rsidP="00587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3C" w:rsidRDefault="0057463C" w:rsidP="00587D46">
      <w:pPr>
        <w:pStyle w:val="2"/>
        <w:numPr>
          <w:ilvl w:val="1"/>
          <w:numId w:val="5"/>
        </w:numPr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90027526"/>
      <w:r w:rsidRPr="0057463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Классификация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7463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денежных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7463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потоков</w:t>
      </w:r>
      <w:bookmarkEnd w:id="3"/>
    </w:p>
    <w:p w:rsidR="0057463C" w:rsidRPr="0057463C" w:rsidRDefault="0057463C" w:rsidP="00587D46">
      <w:pPr>
        <w:spacing w:after="0"/>
      </w:pPr>
    </w:p>
    <w:p w:rsidR="0057463C" w:rsidRPr="001C4A62" w:rsidRDefault="0057463C" w:rsidP="0058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распространенные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потоков.</w:t>
      </w:r>
    </w:p>
    <w:p w:rsidR="0057463C" w:rsidRPr="001C4A62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iCs/>
          <w:sz w:val="28"/>
          <w:szCs w:val="28"/>
        </w:rPr>
        <w:t>1.По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масштабам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обслуживания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хозяйственного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процесса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выделяются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следующие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потоков:</w:t>
      </w:r>
    </w:p>
    <w:p w:rsidR="0057463C" w:rsidRPr="001C4A62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iCs/>
          <w:sz w:val="28"/>
          <w:szCs w:val="28"/>
        </w:rPr>
        <w:lastRenderedPageBreak/>
        <w:t>-денежный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предприятию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агрегированный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аккумулирует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хозяйственный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целом;</w:t>
      </w:r>
    </w:p>
    <w:p w:rsidR="0057463C" w:rsidRPr="001C4A62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iCs/>
          <w:sz w:val="28"/>
          <w:szCs w:val="28"/>
        </w:rPr>
        <w:t>-денежный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отдельным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структурным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подразделениям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(центрам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ответственности)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самостоятельный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организационно-хозяйственного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57463C" w:rsidRPr="001C4A62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iCs/>
          <w:sz w:val="28"/>
          <w:szCs w:val="28"/>
        </w:rPr>
        <w:t>-денежный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отдельным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хозяйственным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операциям.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потока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первичный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sz w:val="28"/>
          <w:szCs w:val="28"/>
        </w:rPr>
        <w:t>управления.</w:t>
      </w:r>
    </w:p>
    <w:tbl>
      <w:tblPr>
        <w:tblpPr w:leftFromText="180" w:rightFromText="180" w:vertAnchor="text" w:horzAnchor="margin" w:tblpXSpec="center" w:tblpY="1279"/>
        <w:tblW w:w="10075" w:type="dxa"/>
        <w:tblCellSpacing w:w="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15"/>
        <w:gridCol w:w="5660"/>
      </w:tblGrid>
      <w:tr w:rsidR="0057463C" w:rsidRPr="006C3414" w:rsidTr="0057463C">
        <w:trPr>
          <w:trHeight w:val="771"/>
          <w:tblCellSpacing w:w="18" w:type="dxa"/>
        </w:trPr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463C" w:rsidRPr="006C3414" w:rsidRDefault="0057463C" w:rsidP="00574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4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ПРИТОК</w:t>
            </w:r>
          </w:p>
        </w:tc>
        <w:tc>
          <w:tcPr>
            <w:tcW w:w="5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463C" w:rsidRPr="006C3414" w:rsidRDefault="0057463C" w:rsidP="00574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4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ОТТОК</w:t>
            </w:r>
          </w:p>
        </w:tc>
      </w:tr>
      <w:tr w:rsidR="0057463C" w:rsidRPr="006C3414" w:rsidTr="0057463C">
        <w:trPr>
          <w:trHeight w:val="600"/>
          <w:tblCellSpacing w:w="18" w:type="dxa"/>
        </w:trPr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463C" w:rsidRPr="006C3414" w:rsidRDefault="0057463C" w:rsidP="00574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авансов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покупателей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заказчиков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(возврат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поставщиков;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сумм,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подотчетным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лицам)</w:t>
            </w:r>
          </w:p>
        </w:tc>
        <w:tc>
          <w:tcPr>
            <w:tcW w:w="5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463C" w:rsidRPr="006C3414" w:rsidRDefault="0057463C" w:rsidP="00574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Платежи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счетам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поставщиков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подрядчиков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3.Отчисления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соцстрах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налогам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Уплата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кредиту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Авансы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выданные</w:t>
            </w:r>
          </w:p>
        </w:tc>
      </w:tr>
    </w:tbl>
    <w:p w:rsidR="0057463C" w:rsidRPr="001C4A62" w:rsidRDefault="0057463C" w:rsidP="005746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видам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хозяйственной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соответствии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международным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стандартом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учета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выделяют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следующие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7463C" w:rsidRPr="001C4A62" w:rsidRDefault="0057463C" w:rsidP="005746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денежные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потоки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операционной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деятельности.</w:t>
      </w:r>
    </w:p>
    <w:tbl>
      <w:tblPr>
        <w:tblpPr w:leftFromText="180" w:rightFromText="180" w:vertAnchor="text" w:horzAnchor="margin" w:tblpY="1176"/>
        <w:tblW w:w="9836" w:type="dxa"/>
        <w:tblCellSpacing w:w="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91"/>
        <w:gridCol w:w="4545"/>
      </w:tblGrid>
      <w:tr w:rsidR="0057463C" w:rsidRPr="006C3414" w:rsidTr="0057463C">
        <w:trPr>
          <w:tblCellSpacing w:w="18" w:type="dxa"/>
        </w:trPr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463C" w:rsidRPr="006C3414" w:rsidRDefault="0057463C" w:rsidP="005746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4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ПРИТОК</w:t>
            </w:r>
          </w:p>
        </w:tc>
        <w:tc>
          <w:tcPr>
            <w:tcW w:w="4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463C" w:rsidRPr="006C3414" w:rsidRDefault="0057463C" w:rsidP="005746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4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ОТТОК</w:t>
            </w:r>
          </w:p>
        </w:tc>
      </w:tr>
      <w:tr w:rsidR="0057463C" w:rsidRPr="006C3414" w:rsidTr="0057463C">
        <w:trPr>
          <w:tblCellSpacing w:w="18" w:type="dxa"/>
        </w:trPr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463C" w:rsidRPr="006C3414" w:rsidRDefault="0057463C" w:rsidP="005746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активов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долгосрочного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Дивиденды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долгосрочных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вложений.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Возврат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вложений</w:t>
            </w:r>
          </w:p>
        </w:tc>
        <w:tc>
          <w:tcPr>
            <w:tcW w:w="4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463C" w:rsidRPr="006C3414" w:rsidRDefault="0057463C" w:rsidP="005746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долгосрочного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(основные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средства,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нематериальные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активы).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Капитальные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Долгосрочные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14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</w:tr>
    </w:tbl>
    <w:p w:rsidR="0057463C" w:rsidRPr="001C4A62" w:rsidRDefault="0057463C" w:rsidP="005746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bCs/>
          <w:sz w:val="28"/>
          <w:szCs w:val="28"/>
        </w:rPr>
        <w:lastRenderedPageBreak/>
        <w:t>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притока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оттока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денежных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7463C" w:rsidRPr="001C4A62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денежные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потоки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инвестиционной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деятельности.</w:t>
      </w:r>
    </w:p>
    <w:p w:rsidR="0057463C" w:rsidRPr="001C4A62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62">
        <w:rPr>
          <w:rFonts w:ascii="Times New Roman" w:hAnsi="Times New Roman" w:cs="Times New Roman"/>
          <w:bCs/>
          <w:sz w:val="28"/>
          <w:szCs w:val="28"/>
        </w:rPr>
        <w:lastRenderedPageBreak/>
        <w:t>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притока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оттока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денежных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инвестиционной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7463C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4A6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денежные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потоки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финансовой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iCs/>
          <w:sz w:val="28"/>
          <w:szCs w:val="28"/>
        </w:rPr>
        <w:t>деятельности.</w:t>
      </w:r>
    </w:p>
    <w:p w:rsidR="0057463C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A62">
        <w:rPr>
          <w:rFonts w:ascii="Times New Roman" w:hAnsi="Times New Roman" w:cs="Times New Roman"/>
          <w:bCs/>
          <w:sz w:val="28"/>
          <w:szCs w:val="28"/>
        </w:rPr>
        <w:t>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притока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оттока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денежных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финансовой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A62"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781" w:type="dxa"/>
        <w:tblCellSpacing w:w="18" w:type="dxa"/>
        <w:tblInd w:w="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57463C" w:rsidRPr="001C4A62" w:rsidTr="0057463C">
        <w:trPr>
          <w:tblCellSpacing w:w="18" w:type="dxa"/>
        </w:trPr>
        <w:tc>
          <w:tcPr>
            <w:tcW w:w="5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7463C" w:rsidRPr="001C4A62" w:rsidRDefault="0057463C" w:rsidP="0057463C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4A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ПРИТОК</w:t>
            </w:r>
          </w:p>
        </w:tc>
        <w:tc>
          <w:tcPr>
            <w:tcW w:w="4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7463C" w:rsidRPr="001C4A62" w:rsidRDefault="0057463C" w:rsidP="0057463C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4A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ОТТОК</w:t>
            </w:r>
          </w:p>
        </w:tc>
      </w:tr>
      <w:tr w:rsidR="0057463C" w:rsidRPr="001C4A62" w:rsidTr="0057463C">
        <w:trPr>
          <w:tblCellSpacing w:w="18" w:type="dxa"/>
        </w:trPr>
        <w:tc>
          <w:tcPr>
            <w:tcW w:w="5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7463C" w:rsidRPr="001C4A62" w:rsidRDefault="0057463C" w:rsidP="0057463C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Полученные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ссуды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займы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2.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Эмиссия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акций,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облигаций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Получение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дивидендов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акциям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процентов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облигациям</w:t>
            </w:r>
          </w:p>
        </w:tc>
        <w:tc>
          <w:tcPr>
            <w:tcW w:w="4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7463C" w:rsidRPr="001C4A62" w:rsidRDefault="0057463C" w:rsidP="0057463C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Возврат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ранее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полученных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кредитов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2.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Выплата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дивидендов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акциям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процентов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облигациям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Погашение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4A62">
              <w:rPr>
                <w:rFonts w:ascii="Times New Roman" w:hAnsi="Times New Roman" w:cs="Times New Roman"/>
                <w:iCs/>
                <w:sz w:val="28"/>
                <w:szCs w:val="28"/>
              </w:rPr>
              <w:t>облигаций</w:t>
            </w:r>
          </w:p>
        </w:tc>
      </w:tr>
    </w:tbl>
    <w:p w:rsidR="0057463C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3.По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направлению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движения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выделяют.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основных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потоков: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положительные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характеризирующие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совокупность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поступлений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всех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хозяйственных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операций.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Так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наряду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положительными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используют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«термин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приток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средств»;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отрицательные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характеризирующие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совокупность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выплат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процессе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осуществления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всех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хозяйственных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операций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(в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аналога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этого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термина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используют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«отток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средств»).</w:t>
      </w: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lastRenderedPageBreak/>
        <w:t>Характеризуя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эти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следует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обратить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внимание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высокую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степень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взаимосвязи.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Недостаточность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объема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одного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этих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обусловливает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последующее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сокращение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объемов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другого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этих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Поэтому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системе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эти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собой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единый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объект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финансового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менеджмента.</w:t>
      </w: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методу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исчисления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объема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выделяют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следующие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предприятия: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валовой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всю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совокупность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поступлений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расходования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резерве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отдельных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интервалов;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чистый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разницу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между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положительным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отрицательным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(между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поступлением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расходованием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разрезе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отдельных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интервалов.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Чистый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является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важнейшим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результатом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финансовой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многом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определяющее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финансовое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равновесие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типы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возрастания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рыночной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стоимости.</w:t>
      </w: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Расчет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чистого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целом,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отдельным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структурным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подразделениям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(центрам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ответственности),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различным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хозяйственной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отдельным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хозяйственным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операциям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осуществляется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следующей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формуле: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ЧДП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=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ПДП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ОДП,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где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ЧДП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—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сумма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чистого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времени;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ПДП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—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сумма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положительного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(поступлений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времени;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ОДП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—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сумма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отрицательного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(расходования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</w:t>
      </w:r>
      <w:r w:rsidRPr="00277966">
        <w:rPr>
          <w:rFonts w:ascii="Times New Roman" w:hAnsi="Times New Roman" w:cs="Times New Roman"/>
          <w:iCs/>
          <w:sz w:val="28"/>
          <w:szCs w:val="28"/>
          <w:vertAlign w:val="superscript"/>
        </w:rPr>
        <w:t>6</w:t>
      </w:r>
      <w:r w:rsidRPr="00277966">
        <w:rPr>
          <w:rFonts w:ascii="Times New Roman" w:hAnsi="Times New Roman" w:cs="Times New Roman"/>
          <w:iCs/>
          <w:sz w:val="28"/>
          <w:szCs w:val="28"/>
        </w:rPr>
        <w:t>.</w:t>
      </w: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5.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уровню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достаточности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объема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выделяют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следующие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предприятия: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избыточный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такой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котором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поступление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существенно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превышают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реальную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потребность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целенаправленном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расходовании.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дефицитный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такой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котором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поступление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существенно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ниже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реальных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потребностей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целенаправленности.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Даже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положительном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значении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суммы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чистого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может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характеризоваться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как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дефицитный,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если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эта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сумма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обеспечивает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плановой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потребности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расхождении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всем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направлениям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хозяйственной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Отрицательное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значение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суммы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чистой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автоматически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делает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этот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дефицитным.</w:t>
      </w: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методу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оценки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выделяют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следующие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потока: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настоящий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как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единую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сопоставимую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величину,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приведенную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стоимости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текущему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моменту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времени;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будущий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как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единую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сопоставимую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величину,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приведенную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стоимости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конкретному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предстоящему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моменту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времени.</w:t>
      </w: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7.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непрерывности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формирования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различают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следующие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предприятии: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регулярный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поступлений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расходования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отдельным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хозяйственным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операциям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(денежным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одного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вида),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которые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осуществляются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постоянно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отдельным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интервалам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этого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периода.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дискретный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поступления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расходования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связанных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осуществлением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единичных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операций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времени.</w:t>
      </w: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8.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стабильности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интервалов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формирования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регулярные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характеризуются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следующим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видом: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регулярный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равномерными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интервалами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рамках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Такой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поступления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расходования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носит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характер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аннуитетов:</w:t>
      </w:r>
    </w:p>
    <w:p w:rsidR="0057463C" w:rsidRPr="00277966" w:rsidRDefault="0057463C" w:rsidP="0057463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-регулярный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неравномерными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временными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интервалами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рамках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рассматриваемого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периода.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7966">
        <w:rPr>
          <w:rFonts w:ascii="Times New Roman" w:hAnsi="Times New Roman" w:cs="Times New Roman"/>
          <w:iCs/>
          <w:sz w:val="28"/>
          <w:szCs w:val="28"/>
        </w:rPr>
        <w:t>Рассмотренная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классификация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позволяет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более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целенаправленно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осуществлять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учет,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анализ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планирование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различных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видов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7966">
        <w:rPr>
          <w:rFonts w:ascii="Times New Roman" w:hAnsi="Times New Roman" w:cs="Times New Roman"/>
          <w:iCs/>
          <w:sz w:val="28"/>
          <w:szCs w:val="28"/>
        </w:rPr>
        <w:t>предприятии.</w:t>
      </w:r>
    </w:p>
    <w:p w:rsidR="00587D46" w:rsidRDefault="00587D46" w:rsidP="0057463C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" w:name="_Toc90027527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 w:type="page"/>
      </w:r>
    </w:p>
    <w:p w:rsidR="00387673" w:rsidRPr="0057463C" w:rsidRDefault="0057463C" w:rsidP="0057463C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2</w:t>
      </w:r>
      <w:r w:rsidRPr="0057463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57463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часть</w:t>
      </w:r>
      <w:bookmarkEnd w:id="4"/>
    </w:p>
    <w:p w:rsidR="0057463C" w:rsidRPr="0057463C" w:rsidRDefault="0057463C" w:rsidP="0057463C">
      <w:pPr>
        <w:rPr>
          <w:lang w:eastAsia="ru-RU"/>
        </w:rPr>
      </w:pPr>
    </w:p>
    <w:p w:rsidR="007D27FB" w:rsidRPr="00594401" w:rsidRDefault="0057463C" w:rsidP="0059440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№5</w:t>
      </w:r>
    </w:p>
    <w:p w:rsidR="007D27FB" w:rsidRPr="00594401" w:rsidRDefault="007D27FB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текущую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арендных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платежей,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арендный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уменьшится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сохранится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возрастет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дисконта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10%.</w:t>
      </w:r>
    </w:p>
    <w:p w:rsidR="007D27FB" w:rsidRPr="00594401" w:rsidRDefault="0057463C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7FB" w:rsidRPr="00594401" w:rsidRDefault="007D27FB" w:rsidP="0059440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7D27FB" w:rsidRPr="00594401" w:rsidRDefault="007D27FB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текущей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суммами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7D27FB" w:rsidRPr="00594401" w:rsidRDefault="007D27FB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i)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Start"/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</w:t>
      </w:r>
      <w:proofErr w:type="gramEnd"/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i)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proofErr w:type="gramStart"/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</w:t>
      </w:r>
      <w:proofErr w:type="gramEnd"/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i)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n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7D27FB" w:rsidRPr="00594401" w:rsidRDefault="007D27FB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доходов;</w:t>
      </w:r>
    </w:p>
    <w:p w:rsidR="007D27FB" w:rsidRPr="00594401" w:rsidRDefault="007D27FB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n-й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период;</w:t>
      </w:r>
    </w:p>
    <w:p w:rsidR="007D27FB" w:rsidRPr="00594401" w:rsidRDefault="007D27FB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выбранная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дисконтирования;</w:t>
      </w:r>
    </w:p>
    <w:p w:rsidR="007D27FB" w:rsidRPr="00594401" w:rsidRDefault="007D27FB" w:rsidP="00594401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владения.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969"/>
        <w:gridCol w:w="1822"/>
        <w:gridCol w:w="2798"/>
        <w:gridCol w:w="2916"/>
      </w:tblGrid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Денежный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поток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фактора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текущей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денежный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поток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1,1000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1,2100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1,3310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1,4641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1,6105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1,7716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1,9487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2,1436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7D27FB" w:rsidRPr="00594401" w:rsidTr="00594401">
        <w:tc>
          <w:tcPr>
            <w:tcW w:w="849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6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451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2,3579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</w:tr>
      <w:tr w:rsidR="007D27FB" w:rsidRPr="00594401" w:rsidTr="00594401">
        <w:tc>
          <w:tcPr>
            <w:tcW w:w="4896" w:type="dxa"/>
            <w:gridSpan w:val="3"/>
            <w:hideMark/>
          </w:tcPr>
          <w:p w:rsidR="007D27FB" w:rsidRPr="00594401" w:rsidRDefault="007D27FB" w:rsidP="005944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денежного</w:t>
            </w:r>
            <w:r w:rsidR="00574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потока</w:t>
            </w:r>
          </w:p>
        </w:tc>
        <w:tc>
          <w:tcPr>
            <w:tcW w:w="2508" w:type="dxa"/>
            <w:hideMark/>
          </w:tcPr>
          <w:p w:rsidR="007D27FB" w:rsidRPr="00594401" w:rsidRDefault="007D27FB" w:rsidP="00594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</w:t>
            </w:r>
          </w:p>
        </w:tc>
      </w:tr>
    </w:tbl>
    <w:p w:rsidR="00594401" w:rsidRDefault="00594401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63C" w:rsidRDefault="007D27FB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потока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арендных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2227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  <w:r w:rsidR="0057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7463C" w:rsidRDefault="0057463C" w:rsidP="0057463C">
      <w:pPr>
        <w:pStyle w:val="1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5" w:name="_Toc90027528"/>
      <w:r w:rsidRPr="0057463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ЗАКЛЮЧЕНИЕ</w:t>
      </w:r>
      <w:bookmarkEnd w:id="5"/>
    </w:p>
    <w:p w:rsidR="0057463C" w:rsidRPr="0057463C" w:rsidRDefault="0057463C" w:rsidP="0057463C"/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Управление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является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важной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составной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частью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общей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системы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управлени</w:t>
      </w:r>
      <w:r>
        <w:rPr>
          <w:rFonts w:ascii="Times New Roman" w:hAnsi="Times New Roman" w:cs="Times New Roman"/>
          <w:iCs/>
          <w:sz w:val="28"/>
          <w:szCs w:val="28"/>
        </w:rPr>
        <w:t>я его финансовой деятельностью.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позволяет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решать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разнообразные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финансового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менеджмента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подчинено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главной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цели.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Объектом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системе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выступают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связанные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осуществлением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различных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хозяйственных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финансовых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операций,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субъектом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является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финансовая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служба,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состав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численность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которой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зависит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размера,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структуры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количества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операций,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направлений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других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факторов.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Под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понимают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совокупность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распределенных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поступлений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выплат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средств,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генерируемых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хозяйственной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деятельностью.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Основной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источник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информации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анализа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Отчет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движении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средств.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Анализ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отчета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движении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позволяет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существенно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углубить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скорректировать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выводы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относительно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ликвидности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платежеспособности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организации,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будущего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финансового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потенциала,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полученные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предварительно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основе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статичных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показателей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ходе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традиционного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финансового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анализа.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связи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этим,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тема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анализа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направлений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оптимизации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последнее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время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становится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все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более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актуальной.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Оптимизация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собой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процесс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выбора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наилучших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форм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организации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учетом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условий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особенностей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осуществления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хозяйственной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деятельности.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Основу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оптимизации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платежного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оборота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обеспечение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объемов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положительного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отрицательного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времени.</w:t>
      </w:r>
    </w:p>
    <w:p w:rsidR="0057463C" w:rsidRPr="0007539F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lastRenderedPageBreak/>
        <w:t>Основными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целями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оптимизации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являются:</w:t>
      </w:r>
    </w:p>
    <w:p w:rsidR="0057463C" w:rsidRPr="0007539F" w:rsidRDefault="0057463C" w:rsidP="0057463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обеспечение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синхронности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формирования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времени;</w:t>
      </w:r>
    </w:p>
    <w:p w:rsidR="0057463C" w:rsidRPr="0007539F" w:rsidRDefault="0057463C" w:rsidP="0057463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обеспечение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роста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чистого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предприятия.</w:t>
      </w:r>
    </w:p>
    <w:p w:rsidR="0057463C" w:rsidRPr="0007539F" w:rsidRDefault="0057463C" w:rsidP="0057463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Основными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объектами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оптимизации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выступают:</w:t>
      </w:r>
    </w:p>
    <w:p w:rsidR="0057463C" w:rsidRPr="0007539F" w:rsidRDefault="0057463C" w:rsidP="0057463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положительный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поток;</w:t>
      </w:r>
    </w:p>
    <w:p w:rsidR="0057463C" w:rsidRPr="0007539F" w:rsidRDefault="0057463C" w:rsidP="0057463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отрицательный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поток;</w:t>
      </w:r>
    </w:p>
    <w:p w:rsidR="0057463C" w:rsidRPr="0007539F" w:rsidRDefault="0057463C" w:rsidP="0057463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остаток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активов;</w:t>
      </w:r>
    </w:p>
    <w:p w:rsidR="0057463C" w:rsidRPr="0007539F" w:rsidRDefault="0057463C" w:rsidP="0057463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чистый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Характеристика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перечисленных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также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была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представлена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работе,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вместе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попыткой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выявить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положительные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отрицательные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качества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этих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Систематизация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три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вида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(текущую,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инвестиционную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финансовую)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очень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важна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практики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России,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благоприятный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(близкий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нулю)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совокупный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может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быть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достигнут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счет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элиминирования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покрытия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отрицательного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текущей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притоком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продажи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активов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привлечения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краткосрочных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банковских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кредитов.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данном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случае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величина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скрывает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реальную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убыточность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предприятия.</w:t>
      </w:r>
    </w:p>
    <w:p w:rsidR="0057463C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Процесс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начинают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анализа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движения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средств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базовый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отчетный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периоды.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Такой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анализ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позволяет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установить,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где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генерируется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наличность,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где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расходуется.</w:t>
      </w:r>
    </w:p>
    <w:p w:rsidR="0057463C" w:rsidRPr="00277966" w:rsidRDefault="0057463C" w:rsidP="005746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39F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результатам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анализа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субъект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должен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принять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решение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направленные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коррекцию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результатов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проведения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мероприятий,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зависит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финансовое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предприятия,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именно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поэтому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тема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анализа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денежных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потоков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одна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наиболее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539F">
        <w:rPr>
          <w:rFonts w:ascii="Times New Roman" w:hAnsi="Times New Roman" w:cs="Times New Roman"/>
          <w:iCs/>
          <w:sz w:val="28"/>
          <w:szCs w:val="28"/>
        </w:rPr>
        <w:t>животрепещущих.</w:t>
      </w:r>
    </w:p>
    <w:p w:rsidR="0057463C" w:rsidRDefault="0057463C" w:rsidP="0057463C">
      <w:pPr>
        <w:pStyle w:val="1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6" w:name="_Toc90027529"/>
      <w:r w:rsidRPr="0057463C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СПИСОК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7463C">
        <w:rPr>
          <w:rFonts w:ascii="Times New Roman" w:hAnsi="Times New Roman" w:cs="Times New Roman"/>
          <w:iCs/>
          <w:color w:val="auto"/>
          <w:sz w:val="28"/>
          <w:szCs w:val="28"/>
        </w:rPr>
        <w:t>ИСПОЛЬЗУЕМОЙ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7463C">
        <w:rPr>
          <w:rFonts w:ascii="Times New Roman" w:hAnsi="Times New Roman" w:cs="Times New Roman"/>
          <w:iCs/>
          <w:color w:val="auto"/>
          <w:sz w:val="28"/>
          <w:szCs w:val="28"/>
        </w:rPr>
        <w:t>ЛИТЕРАТУРЫ:</w:t>
      </w:r>
      <w:bookmarkEnd w:id="6"/>
    </w:p>
    <w:p w:rsidR="0057463C" w:rsidRPr="0057463C" w:rsidRDefault="0057463C" w:rsidP="0057463C"/>
    <w:p w:rsidR="00A63F14" w:rsidRDefault="0057463C" w:rsidP="00A63F1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Бендиков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 xml:space="preserve"> М.А. Совершенствование диагностики финансового состояния промышленного предприятия. / М.А. </w:t>
      </w: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Бендиков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 xml:space="preserve">, Е.В. </w:t>
      </w: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Джамай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>. // Менеджмент в России и за рубежом. – №5. – 2017. – с. 84-91.</w:t>
      </w:r>
    </w:p>
    <w:p w:rsidR="00A63F14" w:rsidRDefault="0057463C" w:rsidP="00A63F1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Бернстайн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 xml:space="preserve"> Л.А. Анализ финансовой отчетности: теория, практика и интерпретация: Пер. с англ./ Л.А. </w:t>
      </w: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Бернстайн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>. – М.: Финансы и статистика, 2017. – с. 458.</w:t>
      </w:r>
    </w:p>
    <w:p w:rsidR="00A63F14" w:rsidRDefault="0057463C" w:rsidP="00A63F1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3F14">
        <w:rPr>
          <w:rFonts w:ascii="Times New Roman" w:hAnsi="Times New Roman" w:cs="Times New Roman"/>
          <w:iCs/>
          <w:sz w:val="28"/>
          <w:szCs w:val="28"/>
        </w:rPr>
        <w:t xml:space="preserve">Ван </w:t>
      </w: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Хорн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 xml:space="preserve"> Дж. К. Основы управления финансами: Пер. с англ. / </w:t>
      </w: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Дж.К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 xml:space="preserve">. Ван </w:t>
      </w: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Хорн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>. – М.: Финансы и статистика, 2015. – с. 180.</w:t>
      </w:r>
    </w:p>
    <w:p w:rsidR="00A63F14" w:rsidRDefault="0057463C" w:rsidP="00A63F1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Илясов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 xml:space="preserve"> Т.Г. Как улучшить финансовое состояние предприятия. / Т.Г. </w:t>
      </w:r>
      <w:proofErr w:type="spellStart"/>
      <w:r w:rsidRPr="00A63F14">
        <w:rPr>
          <w:rFonts w:ascii="Times New Roman" w:hAnsi="Times New Roman" w:cs="Times New Roman"/>
          <w:iCs/>
          <w:sz w:val="28"/>
          <w:szCs w:val="28"/>
        </w:rPr>
        <w:t>Илясов</w:t>
      </w:r>
      <w:proofErr w:type="spellEnd"/>
      <w:r w:rsidRPr="00A63F14">
        <w:rPr>
          <w:rFonts w:ascii="Times New Roman" w:hAnsi="Times New Roman" w:cs="Times New Roman"/>
          <w:iCs/>
          <w:sz w:val="28"/>
          <w:szCs w:val="28"/>
        </w:rPr>
        <w:t>. // Финансы. – №10. – 2012. – с. 70–73.</w:t>
      </w:r>
    </w:p>
    <w:p w:rsidR="00A63F14" w:rsidRDefault="0057463C" w:rsidP="00A63F1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3F14">
        <w:rPr>
          <w:rFonts w:ascii="Times New Roman" w:hAnsi="Times New Roman" w:cs="Times New Roman"/>
          <w:iCs/>
          <w:sz w:val="28"/>
          <w:szCs w:val="28"/>
        </w:rPr>
        <w:t>Ковалев В.В. Финансы предприятий. / В.В. Ковалев. – М.: Проспект, 2012. – 352 с.</w:t>
      </w:r>
    </w:p>
    <w:p w:rsidR="00AC0EC7" w:rsidRDefault="0057463C" w:rsidP="0057463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3F14">
        <w:rPr>
          <w:rFonts w:ascii="Times New Roman" w:hAnsi="Times New Roman" w:cs="Times New Roman"/>
          <w:iCs/>
          <w:sz w:val="28"/>
          <w:szCs w:val="28"/>
        </w:rPr>
        <w:t>Ковалев В.В. Управление финансами. / В.В. Ковалев. – М.: ФБК Пресс, 2010. – 171 с.</w:t>
      </w:r>
    </w:p>
    <w:p w:rsidR="00AC0EC7" w:rsidRDefault="00AC0EC7" w:rsidP="0057463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0" w:history="1">
        <w:r w:rsidRPr="00D920FC">
          <w:rPr>
            <w:rStyle w:val="a6"/>
            <w:rFonts w:ascii="Times New Roman" w:hAnsi="Times New Roman" w:cs="Times New Roman"/>
            <w:iCs/>
            <w:sz w:val="28"/>
            <w:szCs w:val="28"/>
          </w:rPr>
          <w:t>http://www.finansy.ru/st/post_1284986836.html</w:t>
        </w:r>
      </w:hyperlink>
    </w:p>
    <w:p w:rsidR="0057463C" w:rsidRPr="00AC0EC7" w:rsidRDefault="0057463C" w:rsidP="0057463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0EC7">
        <w:rPr>
          <w:rFonts w:ascii="Times New Roman" w:hAnsi="Times New Roman" w:cs="Times New Roman"/>
          <w:iCs/>
          <w:sz w:val="28"/>
          <w:szCs w:val="28"/>
        </w:rPr>
        <w:t>http://ww.finansy.ru/st/post_1285650370.html</w:t>
      </w:r>
    </w:p>
    <w:p w:rsidR="007D27FB" w:rsidRPr="00594401" w:rsidRDefault="007D27FB" w:rsidP="00594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7F0" w:rsidRPr="00594401" w:rsidRDefault="00B857F0"/>
    <w:sectPr w:rsidR="00B857F0" w:rsidRPr="00594401" w:rsidSect="00AC0EC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FF" w:rsidRDefault="001C6FFF" w:rsidP="00AC0EC7">
      <w:pPr>
        <w:spacing w:after="0" w:line="240" w:lineRule="auto"/>
      </w:pPr>
      <w:r>
        <w:separator/>
      </w:r>
    </w:p>
  </w:endnote>
  <w:endnote w:type="continuationSeparator" w:id="0">
    <w:p w:rsidR="001C6FFF" w:rsidRDefault="001C6FFF" w:rsidP="00AC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770171"/>
      <w:docPartObj>
        <w:docPartGallery w:val="Page Numbers (Bottom of Page)"/>
        <w:docPartUnique/>
      </w:docPartObj>
    </w:sdtPr>
    <w:sdtContent>
      <w:p w:rsidR="00AC0EC7" w:rsidRDefault="00AC0E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AC0EC7" w:rsidRDefault="00AC0E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FF" w:rsidRDefault="001C6FFF" w:rsidP="00AC0EC7">
      <w:pPr>
        <w:spacing w:after="0" w:line="240" w:lineRule="auto"/>
      </w:pPr>
      <w:r>
        <w:separator/>
      </w:r>
    </w:p>
  </w:footnote>
  <w:footnote w:type="continuationSeparator" w:id="0">
    <w:p w:rsidR="001C6FFF" w:rsidRDefault="001C6FFF" w:rsidP="00AC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0E3AAD"/>
    <w:multiLevelType w:val="singleLevel"/>
    <w:tmpl w:val="980E3AAD"/>
    <w:lvl w:ilvl="0">
      <w:start w:val="1"/>
      <w:numFmt w:val="decimal"/>
      <w:suff w:val="space"/>
      <w:lvlText w:val="%1."/>
      <w:lvlJc w:val="left"/>
    </w:lvl>
  </w:abstractNum>
  <w:abstractNum w:abstractNumId="1">
    <w:nsid w:val="0FB5516E"/>
    <w:multiLevelType w:val="multilevel"/>
    <w:tmpl w:val="4FB08F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3B13E3"/>
    <w:multiLevelType w:val="multilevel"/>
    <w:tmpl w:val="5E1C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103EE"/>
    <w:multiLevelType w:val="hybridMultilevel"/>
    <w:tmpl w:val="F718FA14"/>
    <w:lvl w:ilvl="0" w:tplc="A2669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456B"/>
    <w:multiLevelType w:val="multilevel"/>
    <w:tmpl w:val="C35A0C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B209D8"/>
    <w:multiLevelType w:val="multilevel"/>
    <w:tmpl w:val="8B76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D42A3"/>
    <w:multiLevelType w:val="multilevel"/>
    <w:tmpl w:val="526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14A0D"/>
    <w:multiLevelType w:val="hybridMultilevel"/>
    <w:tmpl w:val="629C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8F"/>
    <w:rsid w:val="00055C8F"/>
    <w:rsid w:val="001C6FFF"/>
    <w:rsid w:val="003253DC"/>
    <w:rsid w:val="00387673"/>
    <w:rsid w:val="0057463C"/>
    <w:rsid w:val="00587D46"/>
    <w:rsid w:val="00594401"/>
    <w:rsid w:val="007C7F76"/>
    <w:rsid w:val="007D27FB"/>
    <w:rsid w:val="00A63F14"/>
    <w:rsid w:val="00AC0EC7"/>
    <w:rsid w:val="00B857F0"/>
    <w:rsid w:val="00F44707"/>
    <w:rsid w:val="00F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8D743-5FDF-45F6-AACE-AC8E5F4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9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next w:val="a3"/>
    <w:qFormat/>
    <w:rsid w:val="0038767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63C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4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74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57463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746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7463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5746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EC7"/>
  </w:style>
  <w:style w:type="paragraph" w:styleId="a9">
    <w:name w:val="footer"/>
    <w:basedOn w:val="a"/>
    <w:link w:val="aa"/>
    <w:uiPriority w:val="99"/>
    <w:unhideWhenUsed/>
    <w:rsid w:val="00A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nansy.ru/st/post_1284986836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EE2F-F93C-45D3-BF28-7B07AE64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15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Рега</dc:creator>
  <cp:keywords/>
  <dc:description/>
  <cp:lastModifiedBy>Васильева Рега</cp:lastModifiedBy>
  <cp:revision>7</cp:revision>
  <dcterms:created xsi:type="dcterms:W3CDTF">2021-12-07T11:19:00Z</dcterms:created>
  <dcterms:modified xsi:type="dcterms:W3CDTF">2021-12-10T08:41:00Z</dcterms:modified>
</cp:coreProperties>
</file>