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0" w:rsidRPr="00C221C1" w:rsidRDefault="00184860" w:rsidP="00184860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bookmarkStart w:id="0" w:name="_GoBack"/>
      <w:bookmarkEnd w:id="0"/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Пенсионный фонд принимает взносы под 12% годовых с ежемесячным начислением процентов. Какая сумма будет накоплена к вых</w:t>
      </w:r>
      <w:r w:rsidRPr="00C221C1">
        <w:rPr>
          <w:sz w:val="28"/>
          <w:szCs w:val="28"/>
        </w:rPr>
        <w:t>о</w:t>
      </w:r>
      <w:r w:rsidRPr="00C221C1">
        <w:rPr>
          <w:sz w:val="28"/>
          <w:szCs w:val="28"/>
        </w:rPr>
        <w:t>ду на пенсию, если из зарплаты в конце месяца перечислять в фонд 400 руб. в течение 10 лет?</w:t>
      </w:r>
    </w:p>
    <w:p w:rsidR="00700B05" w:rsidRDefault="00700B05"/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0"/>
    <w:rsid w:val="00184860"/>
    <w:rsid w:val="007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48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48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2020-05-16T14:26:00Z</dcterms:created>
  <dcterms:modified xsi:type="dcterms:W3CDTF">2020-05-16T14:26:00Z</dcterms:modified>
</cp:coreProperties>
</file>