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6D" w:rsidRDefault="00070596" w:rsidP="006808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835">
        <w:rPr>
          <w:rFonts w:ascii="Times New Roman" w:hAnsi="Times New Roman" w:cs="Times New Roman"/>
          <w:b/>
          <w:sz w:val="24"/>
          <w:szCs w:val="24"/>
        </w:rPr>
        <w:t>Исследование защитн</w:t>
      </w:r>
      <w:r w:rsidR="001A6DB8" w:rsidRPr="00680835">
        <w:rPr>
          <w:rFonts w:ascii="Times New Roman" w:hAnsi="Times New Roman" w:cs="Times New Roman"/>
          <w:b/>
          <w:sz w:val="24"/>
          <w:szCs w:val="24"/>
        </w:rPr>
        <w:t>ых свойств</w:t>
      </w:r>
      <w:r w:rsidRPr="00680835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1A6DB8" w:rsidRPr="00680835">
        <w:rPr>
          <w:rFonts w:ascii="Times New Roman" w:hAnsi="Times New Roman" w:cs="Times New Roman"/>
          <w:b/>
          <w:sz w:val="24"/>
          <w:szCs w:val="24"/>
        </w:rPr>
        <w:t>нуления</w:t>
      </w:r>
    </w:p>
    <w:p w:rsidR="00680835" w:rsidRPr="00680835" w:rsidRDefault="00680835" w:rsidP="006808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835" w:rsidRPr="00680835" w:rsidRDefault="00680835" w:rsidP="006808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835">
        <w:rPr>
          <w:rFonts w:ascii="Times New Roman" w:hAnsi="Times New Roman" w:cs="Times New Roman"/>
          <w:b/>
          <w:sz w:val="24"/>
          <w:szCs w:val="24"/>
        </w:rPr>
        <w:t>Цель работы</w:t>
      </w:r>
    </w:p>
    <w:p w:rsidR="00680835" w:rsidRPr="00680835" w:rsidRDefault="00680835" w:rsidP="00680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835">
        <w:rPr>
          <w:rFonts w:ascii="Times New Roman" w:hAnsi="Times New Roman" w:cs="Times New Roman"/>
          <w:sz w:val="24"/>
          <w:szCs w:val="24"/>
        </w:rPr>
        <w:t xml:space="preserve">Целью лабораторной работы является закрепление теоретических знаний и получения студентами практических навыков в исследовании защитных свойств зануления в трехфазных сетях с глухозаземленной  нейтралью напряжением до 1 кВ, системы </w:t>
      </w:r>
      <w:r w:rsidRPr="00680835">
        <w:rPr>
          <w:rFonts w:ascii="Times New Roman" w:hAnsi="Times New Roman" w:cs="Times New Roman"/>
          <w:sz w:val="24"/>
          <w:szCs w:val="24"/>
          <w:lang w:val="en-US"/>
        </w:rPr>
        <w:t>TN</w:t>
      </w:r>
      <w:r w:rsidRPr="00680835">
        <w:rPr>
          <w:rFonts w:ascii="Times New Roman" w:hAnsi="Times New Roman" w:cs="Times New Roman"/>
          <w:sz w:val="24"/>
          <w:szCs w:val="24"/>
        </w:rPr>
        <w:t>-</w:t>
      </w:r>
      <w:r w:rsidRPr="0068083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80835">
        <w:rPr>
          <w:rFonts w:ascii="Times New Roman" w:hAnsi="Times New Roman" w:cs="Times New Roman"/>
          <w:sz w:val="24"/>
          <w:szCs w:val="24"/>
        </w:rPr>
        <w:t>.</w:t>
      </w:r>
    </w:p>
    <w:p w:rsidR="00680835" w:rsidRPr="00680835" w:rsidRDefault="00680835" w:rsidP="006808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0835" w:rsidRPr="00680835" w:rsidRDefault="00680835" w:rsidP="006808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835">
        <w:rPr>
          <w:rFonts w:ascii="Times New Roman" w:hAnsi="Times New Roman" w:cs="Times New Roman"/>
          <w:b/>
          <w:sz w:val="24"/>
          <w:szCs w:val="24"/>
        </w:rPr>
        <w:t xml:space="preserve">Задание на выполнение </w:t>
      </w:r>
      <w:proofErr w:type="gramStart"/>
      <w:r w:rsidRPr="00680835">
        <w:rPr>
          <w:rFonts w:ascii="Times New Roman" w:hAnsi="Times New Roman" w:cs="Times New Roman"/>
          <w:b/>
          <w:sz w:val="24"/>
          <w:szCs w:val="24"/>
        </w:rPr>
        <w:t>лабораторной</w:t>
      </w:r>
      <w:proofErr w:type="gramEnd"/>
      <w:r w:rsidRPr="00680835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680835" w:rsidRPr="00680835" w:rsidRDefault="00680835" w:rsidP="00680835">
      <w:pPr>
        <w:pStyle w:val="2"/>
        <w:ind w:firstLine="709"/>
        <w:jc w:val="right"/>
        <w:rPr>
          <w:sz w:val="24"/>
        </w:rPr>
      </w:pPr>
      <w:r w:rsidRPr="00680835">
        <w:rPr>
          <w:sz w:val="24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"/>
        <w:gridCol w:w="986"/>
        <w:gridCol w:w="811"/>
        <w:gridCol w:w="810"/>
        <w:gridCol w:w="1020"/>
        <w:gridCol w:w="838"/>
        <w:gridCol w:w="912"/>
        <w:gridCol w:w="912"/>
        <w:gridCol w:w="808"/>
        <w:gridCol w:w="808"/>
        <w:gridCol w:w="1050"/>
      </w:tblGrid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16" w:type="dxa"/>
            <w:vMerge w:val="restart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№ вар.</w:t>
            </w:r>
          </w:p>
        </w:tc>
        <w:tc>
          <w:tcPr>
            <w:tcW w:w="2607" w:type="dxa"/>
            <w:gridSpan w:val="3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Трансформатор</w:t>
            </w:r>
          </w:p>
        </w:tc>
        <w:tc>
          <w:tcPr>
            <w:tcW w:w="3682" w:type="dxa"/>
            <w:gridSpan w:val="4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Кабель АВВГ</w:t>
            </w:r>
          </w:p>
        </w:tc>
        <w:tc>
          <w:tcPr>
            <w:tcW w:w="1616" w:type="dxa"/>
            <w:gridSpan w:val="2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РЕ</w:t>
            </w:r>
            <w:proofErr w:type="gramStart"/>
            <w:r w:rsidRPr="00680835">
              <w:rPr>
                <w:sz w:val="24"/>
                <w:lang w:val="en-US"/>
              </w:rPr>
              <w:t>N</w:t>
            </w:r>
            <w:proofErr w:type="gramEnd"/>
            <w:r w:rsidRPr="00680835">
              <w:rPr>
                <w:sz w:val="24"/>
              </w:rPr>
              <w:t>-проводник</w:t>
            </w:r>
          </w:p>
        </w:tc>
        <w:tc>
          <w:tcPr>
            <w:tcW w:w="1050" w:type="dxa"/>
            <w:vMerge w:val="restart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 xml:space="preserve">Ток плавкой вставки </w:t>
            </w:r>
            <w:proofErr w:type="spellStart"/>
            <w:r w:rsidRPr="00680835">
              <w:rPr>
                <w:sz w:val="24"/>
              </w:rPr>
              <w:t>Пр</w:t>
            </w:r>
            <w:r w:rsidRPr="00680835">
              <w:rPr>
                <w:sz w:val="24"/>
                <w:vertAlign w:val="subscript"/>
              </w:rPr>
              <w:t>А</w:t>
            </w:r>
            <w:proofErr w:type="spellEnd"/>
            <w:r w:rsidRPr="00680835">
              <w:rPr>
                <w:sz w:val="24"/>
              </w:rPr>
              <w:t>, А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16" w:type="dxa"/>
            <w:vMerge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i/>
                <w:iCs/>
                <w:sz w:val="24"/>
                <w:lang w:val="en-US"/>
              </w:rPr>
              <w:t>S</w:t>
            </w:r>
            <w:r w:rsidRPr="00680835">
              <w:rPr>
                <w:sz w:val="24"/>
                <w:vertAlign w:val="subscript"/>
              </w:rPr>
              <w:t>т</w:t>
            </w:r>
            <w:r w:rsidRPr="00680835">
              <w:rPr>
                <w:sz w:val="24"/>
              </w:rPr>
              <w:t xml:space="preserve">, </w:t>
            </w:r>
            <w:proofErr w:type="spellStart"/>
            <w:r w:rsidRPr="00680835">
              <w:rPr>
                <w:sz w:val="24"/>
              </w:rPr>
              <w:t>кВА</w:t>
            </w:r>
            <w:proofErr w:type="spellEnd"/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  <w:lang w:val="en-US"/>
              </w:rPr>
              <w:sym w:font="Symbol" w:char="F0E5"/>
            </w:r>
            <w:r w:rsidRPr="00680835">
              <w:rPr>
                <w:i/>
                <w:iCs/>
                <w:sz w:val="24"/>
                <w:lang w:val="en-US"/>
              </w:rPr>
              <w:t>r</w:t>
            </w:r>
            <w:r w:rsidRPr="00680835">
              <w:rPr>
                <w:sz w:val="24"/>
                <w:vertAlign w:val="subscript"/>
              </w:rPr>
              <w:t>т</w:t>
            </w:r>
            <w:r w:rsidRPr="00680835">
              <w:rPr>
                <w:sz w:val="24"/>
              </w:rPr>
              <w:t>, мОм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sym w:font="Symbol" w:char="F0E5"/>
            </w:r>
            <w:proofErr w:type="spellStart"/>
            <w:r w:rsidRPr="00680835">
              <w:rPr>
                <w:i/>
                <w:iCs/>
                <w:sz w:val="24"/>
              </w:rPr>
              <w:t>х</w:t>
            </w:r>
            <w:r w:rsidRPr="00680835">
              <w:rPr>
                <w:sz w:val="24"/>
                <w:vertAlign w:val="subscript"/>
              </w:rPr>
              <w:t>т</w:t>
            </w:r>
            <w:proofErr w:type="spellEnd"/>
            <w:r w:rsidRPr="00680835">
              <w:rPr>
                <w:sz w:val="24"/>
              </w:rPr>
              <w:t>, мОм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  <w:vertAlign w:val="superscript"/>
              </w:rPr>
            </w:pPr>
            <w:r w:rsidRPr="00680835">
              <w:rPr>
                <w:sz w:val="24"/>
              </w:rPr>
              <w:t xml:space="preserve">сечение </w:t>
            </w:r>
            <w:r w:rsidRPr="00680835">
              <w:rPr>
                <w:i/>
                <w:iCs/>
                <w:sz w:val="24"/>
                <w:lang w:val="en-US"/>
              </w:rPr>
              <w:t>q</w:t>
            </w:r>
            <w:r w:rsidRPr="00680835">
              <w:rPr>
                <w:sz w:val="24"/>
              </w:rPr>
              <w:t>, мм</w:t>
            </w:r>
            <w:proofErr w:type="gramStart"/>
            <w:r w:rsidRPr="00680835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 xml:space="preserve">длина </w:t>
            </w:r>
            <w:r w:rsidRPr="00680835">
              <w:rPr>
                <w:i/>
                <w:iCs/>
                <w:sz w:val="24"/>
                <w:lang w:val="en-US"/>
              </w:rPr>
              <w:t>l</w:t>
            </w:r>
            <w:r w:rsidRPr="00680835">
              <w:rPr>
                <w:sz w:val="24"/>
              </w:rPr>
              <w:t>, м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i/>
                <w:iCs/>
                <w:sz w:val="24"/>
                <w:lang w:val="en-US"/>
              </w:rPr>
              <w:t>r</w:t>
            </w:r>
            <w:r w:rsidRPr="00680835">
              <w:rPr>
                <w:sz w:val="24"/>
                <w:vertAlign w:val="subscript"/>
              </w:rPr>
              <w:t>к</w:t>
            </w:r>
            <w:r w:rsidRPr="00680835">
              <w:rPr>
                <w:sz w:val="24"/>
              </w:rPr>
              <w:t>, мОм/м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proofErr w:type="spellStart"/>
            <w:r w:rsidRPr="00680835">
              <w:rPr>
                <w:i/>
                <w:iCs/>
                <w:sz w:val="24"/>
              </w:rPr>
              <w:t>х</w:t>
            </w:r>
            <w:r w:rsidRPr="00680835">
              <w:rPr>
                <w:sz w:val="24"/>
                <w:vertAlign w:val="subscript"/>
              </w:rPr>
              <w:t>к</w:t>
            </w:r>
            <w:proofErr w:type="spellEnd"/>
            <w:r w:rsidRPr="00680835">
              <w:rPr>
                <w:sz w:val="24"/>
              </w:rPr>
              <w:t>,</w:t>
            </w:r>
          </w:p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мОм/</w:t>
            </w:r>
            <w:proofErr w:type="gramStart"/>
            <w:r w:rsidRPr="00680835">
              <w:rPr>
                <w:sz w:val="24"/>
              </w:rPr>
              <w:t>м</w:t>
            </w:r>
            <w:proofErr w:type="gramEnd"/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i/>
                <w:iCs/>
                <w:sz w:val="24"/>
                <w:lang w:val="en-US"/>
              </w:rPr>
              <w:t>r</w:t>
            </w:r>
            <w:r w:rsidRPr="00680835">
              <w:rPr>
                <w:sz w:val="24"/>
                <w:vertAlign w:val="subscript"/>
              </w:rPr>
              <w:t>РЕ</w:t>
            </w:r>
            <w:r w:rsidRPr="00680835">
              <w:rPr>
                <w:sz w:val="24"/>
                <w:vertAlign w:val="subscript"/>
                <w:lang w:val="en-US"/>
              </w:rPr>
              <w:t>N</w:t>
            </w:r>
            <w:r w:rsidRPr="00680835">
              <w:rPr>
                <w:sz w:val="24"/>
              </w:rPr>
              <w:t>, Ом/м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proofErr w:type="spellStart"/>
            <w:r w:rsidRPr="00680835">
              <w:rPr>
                <w:i/>
                <w:iCs/>
                <w:sz w:val="24"/>
              </w:rPr>
              <w:t>х</w:t>
            </w:r>
            <w:r w:rsidRPr="00680835">
              <w:rPr>
                <w:sz w:val="24"/>
                <w:vertAlign w:val="subscript"/>
              </w:rPr>
              <w:t>РЕ</w:t>
            </w:r>
            <w:proofErr w:type="spellEnd"/>
            <w:r w:rsidRPr="00680835">
              <w:rPr>
                <w:sz w:val="24"/>
                <w:vertAlign w:val="subscript"/>
                <w:lang w:val="en-US"/>
              </w:rPr>
              <w:t>N</w:t>
            </w:r>
            <w:r w:rsidRPr="00680835">
              <w:rPr>
                <w:sz w:val="24"/>
              </w:rPr>
              <w:t>,</w:t>
            </w:r>
            <w:r w:rsidRPr="00680835">
              <w:rPr>
                <w:sz w:val="24"/>
                <w:vertAlign w:val="subscript"/>
              </w:rPr>
              <w:t xml:space="preserve"> </w:t>
            </w:r>
            <w:r w:rsidRPr="00680835">
              <w:rPr>
                <w:sz w:val="24"/>
              </w:rPr>
              <w:t>Ом/</w:t>
            </w:r>
            <w:proofErr w:type="gramStart"/>
            <w:r w:rsidRPr="00680835">
              <w:rPr>
                <w:sz w:val="24"/>
              </w:rPr>
              <w:t>м</w:t>
            </w:r>
            <w:proofErr w:type="gramEnd"/>
          </w:p>
        </w:tc>
        <w:tc>
          <w:tcPr>
            <w:tcW w:w="1050" w:type="dxa"/>
            <w:vMerge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4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5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8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9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11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316,9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711,2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3х16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1,95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0,095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5,24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3,14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160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184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450,4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3х25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1,25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0,091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250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115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289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3х35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80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0,894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0,088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4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400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66,6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183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3х50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90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0,625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0,085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150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5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630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36,4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123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3х70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0,447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0,082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150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23,1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77,6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3х95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110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0,329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0,081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1600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18,3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60,8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3х120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120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0,261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0,080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250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8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2500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13,1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41,2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3х150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0,208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0,079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9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630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36,4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123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3х95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90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0,329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0,081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200</w:t>
            </w:r>
          </w:p>
        </w:tc>
      </w:tr>
      <w:tr w:rsidR="00680835" w:rsidRPr="00680835" w:rsidTr="006808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1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</w:t>
            </w:r>
          </w:p>
        </w:tc>
        <w:tc>
          <w:tcPr>
            <w:tcW w:w="986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1000</w:t>
            </w:r>
          </w:p>
        </w:tc>
        <w:tc>
          <w:tcPr>
            <w:tcW w:w="811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23,1</w:t>
            </w:r>
          </w:p>
        </w:tc>
        <w:tc>
          <w:tcPr>
            <w:tcW w:w="81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77,6</w:t>
            </w:r>
          </w:p>
        </w:tc>
        <w:tc>
          <w:tcPr>
            <w:tcW w:w="102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3х120</w:t>
            </w:r>
          </w:p>
        </w:tc>
        <w:tc>
          <w:tcPr>
            <w:tcW w:w="83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100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0,261</w:t>
            </w:r>
          </w:p>
        </w:tc>
        <w:tc>
          <w:tcPr>
            <w:tcW w:w="912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0,080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808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-</w:t>
            </w:r>
          </w:p>
        </w:tc>
        <w:tc>
          <w:tcPr>
            <w:tcW w:w="1050" w:type="dxa"/>
          </w:tcPr>
          <w:p w:rsidR="00680835" w:rsidRPr="00680835" w:rsidRDefault="00680835" w:rsidP="00680835">
            <w:pPr>
              <w:pStyle w:val="2"/>
              <w:jc w:val="center"/>
              <w:rPr>
                <w:sz w:val="24"/>
              </w:rPr>
            </w:pPr>
            <w:r w:rsidRPr="00680835">
              <w:rPr>
                <w:sz w:val="24"/>
              </w:rPr>
              <w:t>250</w:t>
            </w:r>
          </w:p>
        </w:tc>
      </w:tr>
    </w:tbl>
    <w:p w:rsidR="00680835" w:rsidRPr="00680835" w:rsidRDefault="00680835" w:rsidP="00680835">
      <w:pPr>
        <w:pStyle w:val="2"/>
        <w:jc w:val="both"/>
        <w:rPr>
          <w:sz w:val="24"/>
        </w:rPr>
      </w:pPr>
      <w:r w:rsidRPr="00680835">
        <w:rPr>
          <w:sz w:val="24"/>
        </w:rPr>
        <w:t>Примечание</w:t>
      </w:r>
      <w:proofErr w:type="gramStart"/>
      <w:r w:rsidRPr="00680835">
        <w:rPr>
          <w:sz w:val="24"/>
        </w:rPr>
        <w:t xml:space="preserve">:  </w:t>
      </w:r>
      <w:r w:rsidRPr="00680835">
        <w:rPr>
          <w:position w:val="-8"/>
          <w:sz w:val="24"/>
        </w:rPr>
        <w:object w:dxaOrig="16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24pt" o:ole="">
            <v:imagedata r:id="rId4" o:title=""/>
          </v:shape>
          <o:OLEObject Type="Embed" ProgID="Equation.3" ShapeID="_x0000_i1025" DrawAspect="Content" ObjectID="_1453103671" r:id="rId5"/>
        </w:object>
      </w:r>
      <w:r w:rsidRPr="00680835">
        <w:rPr>
          <w:sz w:val="24"/>
        </w:rPr>
        <w:t xml:space="preserve">;  </w:t>
      </w:r>
      <w:proofErr w:type="gramEnd"/>
      <w:r w:rsidRPr="00680835">
        <w:rPr>
          <w:sz w:val="24"/>
        </w:rPr>
        <w:t xml:space="preserve">защита  сработает,   если   </w:t>
      </w:r>
      <w:r w:rsidRPr="00680835">
        <w:rPr>
          <w:i/>
          <w:iCs/>
          <w:sz w:val="24"/>
          <w:lang w:val="en-US"/>
        </w:rPr>
        <w:t>I</w:t>
      </w:r>
      <w:proofErr w:type="spellStart"/>
      <w:r w:rsidRPr="00680835">
        <w:rPr>
          <w:sz w:val="24"/>
          <w:vertAlign w:val="subscript"/>
        </w:rPr>
        <w:t>кз</w:t>
      </w:r>
      <w:proofErr w:type="spellEnd"/>
      <w:r w:rsidRPr="00680835">
        <w:rPr>
          <w:sz w:val="24"/>
        </w:rPr>
        <w:t xml:space="preserve"> &gt; 3</w:t>
      </w:r>
      <w:r w:rsidRPr="00680835">
        <w:rPr>
          <w:i/>
          <w:iCs/>
          <w:sz w:val="24"/>
          <w:lang w:val="en-US"/>
        </w:rPr>
        <w:t>I</w:t>
      </w:r>
      <w:proofErr w:type="spellStart"/>
      <w:r w:rsidRPr="00680835">
        <w:rPr>
          <w:sz w:val="24"/>
          <w:vertAlign w:val="subscript"/>
        </w:rPr>
        <w:t>пл</w:t>
      </w:r>
      <w:proofErr w:type="spellEnd"/>
      <w:r w:rsidRPr="00680835">
        <w:rPr>
          <w:sz w:val="24"/>
          <w:vertAlign w:val="subscript"/>
        </w:rPr>
        <w:t xml:space="preserve"> </w:t>
      </w:r>
      <w:r w:rsidRPr="00680835">
        <w:rPr>
          <w:sz w:val="24"/>
        </w:rPr>
        <w:sym w:font="Symbol" w:char="F0D7"/>
      </w:r>
      <w:r w:rsidRPr="00680835">
        <w:rPr>
          <w:sz w:val="24"/>
        </w:rPr>
        <w:t xml:space="preserve"> </w:t>
      </w:r>
      <w:r w:rsidRPr="00680835">
        <w:rPr>
          <w:i/>
          <w:iCs/>
          <w:sz w:val="24"/>
          <w:lang w:val="en-US"/>
        </w:rPr>
        <w:t>b</w:t>
      </w:r>
      <w:r w:rsidRPr="00680835">
        <w:rPr>
          <w:sz w:val="24"/>
        </w:rPr>
        <w:t xml:space="preserve">;   </w:t>
      </w:r>
      <w:r w:rsidRPr="00680835">
        <w:rPr>
          <w:i/>
          <w:iCs/>
          <w:sz w:val="24"/>
          <w:lang w:val="en-US"/>
        </w:rPr>
        <w:t>U</w:t>
      </w:r>
      <w:proofErr w:type="spellStart"/>
      <w:r w:rsidRPr="00680835">
        <w:rPr>
          <w:sz w:val="24"/>
          <w:vertAlign w:val="subscript"/>
        </w:rPr>
        <w:t>з</w:t>
      </w:r>
      <w:proofErr w:type="spellEnd"/>
      <w:r w:rsidRPr="00680835">
        <w:rPr>
          <w:sz w:val="24"/>
          <w:vertAlign w:val="subscript"/>
        </w:rPr>
        <w:t xml:space="preserve"> </w:t>
      </w:r>
      <w:r w:rsidRPr="00680835">
        <w:rPr>
          <w:sz w:val="24"/>
        </w:rPr>
        <w:sym w:font="Symbol" w:char="F0A3"/>
      </w:r>
      <w:r w:rsidRPr="00680835">
        <w:rPr>
          <w:sz w:val="24"/>
        </w:rPr>
        <w:t xml:space="preserve"> </w:t>
      </w:r>
      <w:r w:rsidRPr="00680835">
        <w:rPr>
          <w:i/>
          <w:iCs/>
          <w:sz w:val="24"/>
          <w:lang w:val="en-US"/>
        </w:rPr>
        <w:t>U</w:t>
      </w:r>
      <w:r w:rsidRPr="00680835">
        <w:rPr>
          <w:sz w:val="24"/>
          <w:vertAlign w:val="subscript"/>
        </w:rPr>
        <w:t xml:space="preserve">пр. доп. </w:t>
      </w:r>
      <w:r w:rsidRPr="00680835">
        <w:rPr>
          <w:sz w:val="24"/>
        </w:rPr>
        <w:t>= 50 В.</w:t>
      </w:r>
    </w:p>
    <w:p w:rsidR="00680835" w:rsidRPr="00680835" w:rsidRDefault="00680835" w:rsidP="00680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835" w:rsidRPr="00680835" w:rsidRDefault="00680835" w:rsidP="00680835">
      <w:pPr>
        <w:pStyle w:val="2"/>
        <w:ind w:firstLine="709"/>
        <w:jc w:val="center"/>
        <w:rPr>
          <w:b/>
          <w:bCs/>
          <w:sz w:val="24"/>
        </w:rPr>
      </w:pPr>
      <w:r w:rsidRPr="00680835">
        <w:rPr>
          <w:b/>
          <w:bCs/>
          <w:sz w:val="24"/>
        </w:rPr>
        <w:t>Содержание отчета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 xml:space="preserve">По каждому пункту задания необходимо начертить принципиальную схему </w:t>
      </w:r>
      <w:proofErr w:type="gramStart"/>
      <w:r w:rsidRPr="00680835">
        <w:rPr>
          <w:sz w:val="24"/>
        </w:rPr>
        <w:t>исследуемой</w:t>
      </w:r>
      <w:proofErr w:type="gramEnd"/>
      <w:r w:rsidRPr="00680835">
        <w:rPr>
          <w:sz w:val="24"/>
        </w:rPr>
        <w:t xml:space="preserve"> сети рис. 4, 5, 6, записать значения параметров этих сетей рассчитать </w:t>
      </w:r>
      <w:r w:rsidRPr="00680835">
        <w:rPr>
          <w:i/>
          <w:iCs/>
          <w:sz w:val="24"/>
          <w:lang w:val="en-US"/>
        </w:rPr>
        <w:t>I</w:t>
      </w:r>
      <w:proofErr w:type="spellStart"/>
      <w:r w:rsidRPr="00680835">
        <w:rPr>
          <w:sz w:val="24"/>
          <w:vertAlign w:val="subscript"/>
        </w:rPr>
        <w:t>кз</w:t>
      </w:r>
      <w:proofErr w:type="spellEnd"/>
      <w:r w:rsidRPr="00680835">
        <w:rPr>
          <w:sz w:val="24"/>
        </w:rPr>
        <w:t xml:space="preserve">, </w:t>
      </w:r>
      <w:r w:rsidRPr="00680835">
        <w:rPr>
          <w:i/>
          <w:iCs/>
          <w:sz w:val="24"/>
          <w:lang w:val="en-US"/>
        </w:rPr>
        <w:t>U</w:t>
      </w:r>
      <w:r w:rsidRPr="00680835">
        <w:rPr>
          <w:sz w:val="24"/>
          <w:vertAlign w:val="subscript"/>
        </w:rPr>
        <w:t>э</w:t>
      </w:r>
      <w:r w:rsidRPr="00680835">
        <w:rPr>
          <w:sz w:val="24"/>
        </w:rPr>
        <w:t xml:space="preserve"> и </w:t>
      </w:r>
      <w:proofErr w:type="spellStart"/>
      <w:r w:rsidRPr="00680835">
        <w:rPr>
          <w:i/>
          <w:iCs/>
          <w:sz w:val="24"/>
          <w:lang w:val="en-US"/>
        </w:rPr>
        <w:t>U</w:t>
      </w:r>
      <w:r w:rsidRPr="00680835">
        <w:rPr>
          <w:sz w:val="24"/>
          <w:vertAlign w:val="subscript"/>
          <w:lang w:val="en-US"/>
        </w:rPr>
        <w:t>o</w:t>
      </w:r>
      <w:proofErr w:type="spellEnd"/>
      <w:r w:rsidRPr="00680835">
        <w:rPr>
          <w:sz w:val="24"/>
        </w:rPr>
        <w:t>, при исправном РЕ</w:t>
      </w:r>
      <w:r w:rsidRPr="00680835">
        <w:rPr>
          <w:sz w:val="24"/>
          <w:lang w:val="en-US"/>
        </w:rPr>
        <w:t>N</w:t>
      </w:r>
      <w:r w:rsidRPr="00680835">
        <w:rPr>
          <w:sz w:val="24"/>
        </w:rPr>
        <w:t>-проводнике и его обрыве.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 xml:space="preserve">Используя полученные результаты сделать вывод об эффективности зануления в сетях напряжением до 1кВ с глухозаземленной нейтралью трансформатора. </w:t>
      </w:r>
    </w:p>
    <w:p w:rsidR="00680835" w:rsidRPr="00680835" w:rsidRDefault="00680835" w:rsidP="00680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835" w:rsidRPr="00680835" w:rsidRDefault="00680835" w:rsidP="00680835">
      <w:pPr>
        <w:pStyle w:val="2"/>
        <w:jc w:val="center"/>
        <w:rPr>
          <w:b/>
          <w:bCs/>
          <w:sz w:val="24"/>
        </w:rPr>
      </w:pPr>
      <w:r w:rsidRPr="00680835">
        <w:rPr>
          <w:b/>
          <w:bCs/>
          <w:sz w:val="24"/>
        </w:rPr>
        <w:t>Контрольные вопросы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 xml:space="preserve">1. Объясните принцип действия защитного зануления и </w:t>
      </w:r>
      <w:proofErr w:type="gramStart"/>
      <w:r w:rsidRPr="00680835">
        <w:rPr>
          <w:sz w:val="24"/>
        </w:rPr>
        <w:t>назовите</w:t>
      </w:r>
      <w:proofErr w:type="gramEnd"/>
      <w:r w:rsidRPr="00680835">
        <w:rPr>
          <w:sz w:val="24"/>
        </w:rPr>
        <w:t xml:space="preserve"> в каких схемах оно применяется.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2. Назовите основные элементы системы зануления.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3. В чем отличие систем Т</w:t>
      </w:r>
      <w:r w:rsidRPr="00680835">
        <w:rPr>
          <w:sz w:val="24"/>
          <w:lang w:val="en-US"/>
        </w:rPr>
        <w:t>N</w:t>
      </w:r>
      <w:r w:rsidRPr="00680835">
        <w:rPr>
          <w:sz w:val="24"/>
        </w:rPr>
        <w:t xml:space="preserve">-С, </w:t>
      </w:r>
      <w:proofErr w:type="gramStart"/>
      <w:r w:rsidRPr="00680835">
        <w:rPr>
          <w:sz w:val="24"/>
        </w:rPr>
        <w:t>Т</w:t>
      </w:r>
      <w:proofErr w:type="gramEnd"/>
      <w:r w:rsidRPr="00680835">
        <w:rPr>
          <w:sz w:val="24"/>
          <w:lang w:val="en-US"/>
        </w:rPr>
        <w:t>N</w:t>
      </w:r>
      <w:r w:rsidRPr="00680835">
        <w:rPr>
          <w:sz w:val="24"/>
        </w:rPr>
        <w:t>-</w:t>
      </w:r>
      <w:r w:rsidRPr="00680835">
        <w:rPr>
          <w:sz w:val="24"/>
          <w:lang w:val="en-US"/>
        </w:rPr>
        <w:t>S</w:t>
      </w:r>
      <w:r w:rsidRPr="00680835">
        <w:rPr>
          <w:sz w:val="24"/>
        </w:rPr>
        <w:t>, Т</w:t>
      </w:r>
      <w:r w:rsidRPr="00680835">
        <w:rPr>
          <w:sz w:val="24"/>
          <w:lang w:val="en-US"/>
        </w:rPr>
        <w:t>N</w:t>
      </w:r>
      <w:r w:rsidRPr="00680835">
        <w:rPr>
          <w:sz w:val="24"/>
        </w:rPr>
        <w:t>-С-</w:t>
      </w:r>
      <w:r w:rsidRPr="00680835">
        <w:rPr>
          <w:sz w:val="24"/>
          <w:lang w:val="en-US"/>
        </w:rPr>
        <w:t>S</w:t>
      </w:r>
      <w:r w:rsidRPr="00680835">
        <w:rPr>
          <w:sz w:val="24"/>
        </w:rPr>
        <w:t>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4. Какое значение имеет повторное заземление РЕ</w:t>
      </w:r>
      <w:proofErr w:type="gramStart"/>
      <w:r w:rsidRPr="00680835">
        <w:rPr>
          <w:sz w:val="24"/>
          <w:lang w:val="en-US"/>
        </w:rPr>
        <w:t>N</w:t>
      </w:r>
      <w:proofErr w:type="gramEnd"/>
      <w:r w:rsidRPr="00680835">
        <w:rPr>
          <w:sz w:val="24"/>
        </w:rPr>
        <w:t>-проводника в системе Т</w:t>
      </w:r>
      <w:r w:rsidRPr="00680835">
        <w:rPr>
          <w:sz w:val="24"/>
          <w:lang w:val="en-US"/>
        </w:rPr>
        <w:t>N</w:t>
      </w:r>
      <w:r w:rsidRPr="00680835">
        <w:rPr>
          <w:sz w:val="24"/>
        </w:rPr>
        <w:t>-С.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5.  Как  распределяется  напряжение  относительно  земли  по  длине РЕ</w:t>
      </w:r>
      <w:proofErr w:type="gramStart"/>
      <w:r w:rsidRPr="00680835">
        <w:rPr>
          <w:sz w:val="24"/>
          <w:lang w:val="en-US"/>
        </w:rPr>
        <w:t>N</w:t>
      </w:r>
      <w:proofErr w:type="gramEnd"/>
      <w:r w:rsidRPr="00680835">
        <w:rPr>
          <w:sz w:val="24"/>
        </w:rPr>
        <w:t>-проводника при замыкании фазы на открытые проводящие части электроустановки с повторным заземлением и без него.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6. Чем обусловливается значение тока однофазного короткого замыкания.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7. Чем обусловливается защита человека от поражения электрическим током при косвенном прикосновении в системе Т</w:t>
      </w:r>
      <w:proofErr w:type="gramStart"/>
      <w:r w:rsidRPr="00680835">
        <w:rPr>
          <w:sz w:val="24"/>
          <w:lang w:val="en-US"/>
        </w:rPr>
        <w:t>N</w:t>
      </w:r>
      <w:proofErr w:type="gramEnd"/>
      <w:r w:rsidRPr="00680835">
        <w:rPr>
          <w:sz w:val="24"/>
        </w:rPr>
        <w:t>-С.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8.  Как  распределяется  напряжение  относительно  земли  по  длине РЕ</w:t>
      </w:r>
      <w:proofErr w:type="gramStart"/>
      <w:r w:rsidRPr="00680835">
        <w:rPr>
          <w:sz w:val="24"/>
          <w:lang w:val="en-US"/>
        </w:rPr>
        <w:t>N</w:t>
      </w:r>
      <w:proofErr w:type="gramEnd"/>
      <w:r w:rsidRPr="00680835">
        <w:rPr>
          <w:sz w:val="24"/>
        </w:rPr>
        <w:t>-проводника при его обрыве, если имеется повторное заземление.</w:t>
      </w:r>
    </w:p>
    <w:p w:rsidR="00680835" w:rsidRPr="00680835" w:rsidRDefault="00680835" w:rsidP="00680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835" w:rsidRPr="00680835" w:rsidRDefault="00680835" w:rsidP="00680835">
      <w:pPr>
        <w:pStyle w:val="2"/>
        <w:jc w:val="center"/>
        <w:rPr>
          <w:b/>
          <w:bCs/>
          <w:sz w:val="24"/>
        </w:rPr>
      </w:pPr>
      <w:r w:rsidRPr="00680835">
        <w:rPr>
          <w:b/>
          <w:bCs/>
          <w:sz w:val="24"/>
        </w:rPr>
        <w:t>Литература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>1. Правила устройства электроустановок ПУЭ. 7-е издание. М.: изд-во НЦ ЭНАС, 2002 г.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 xml:space="preserve">2. Р.Н. Карякин. Заземляющие устройства электроустановок. Справочник. М.: ЗАО </w:t>
      </w:r>
      <w:proofErr w:type="spellStart"/>
      <w:r w:rsidRPr="00680835">
        <w:rPr>
          <w:sz w:val="24"/>
        </w:rPr>
        <w:t>Энергосервис</w:t>
      </w:r>
      <w:proofErr w:type="spellEnd"/>
      <w:r w:rsidRPr="00680835">
        <w:rPr>
          <w:sz w:val="24"/>
        </w:rPr>
        <w:t>, 2000 г.</w:t>
      </w:r>
    </w:p>
    <w:p w:rsidR="00680835" w:rsidRPr="00680835" w:rsidRDefault="00680835" w:rsidP="00680835">
      <w:pPr>
        <w:pStyle w:val="2"/>
        <w:ind w:firstLine="709"/>
        <w:jc w:val="both"/>
        <w:rPr>
          <w:sz w:val="24"/>
        </w:rPr>
      </w:pPr>
      <w:r w:rsidRPr="00680835">
        <w:rPr>
          <w:sz w:val="24"/>
        </w:rPr>
        <w:t xml:space="preserve">3. П.А. Долин. Основы техники безопасности в электроустановках. М.: </w:t>
      </w:r>
      <w:proofErr w:type="spellStart"/>
      <w:r w:rsidRPr="00680835">
        <w:rPr>
          <w:sz w:val="24"/>
        </w:rPr>
        <w:t>Энергоатомиздат</w:t>
      </w:r>
      <w:proofErr w:type="spellEnd"/>
      <w:r w:rsidRPr="00680835">
        <w:rPr>
          <w:sz w:val="24"/>
        </w:rPr>
        <w:t>, 1984 г., с. 168 – 180.</w:t>
      </w:r>
    </w:p>
    <w:sectPr w:rsidR="00680835" w:rsidRPr="00680835" w:rsidSect="0068083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596"/>
    <w:rsid w:val="00070596"/>
    <w:rsid w:val="001A6DB8"/>
    <w:rsid w:val="00245D32"/>
    <w:rsid w:val="004D496D"/>
    <w:rsid w:val="00680835"/>
    <w:rsid w:val="00BB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6808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68083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6</cp:revision>
  <dcterms:created xsi:type="dcterms:W3CDTF">2014-02-05T05:31:00Z</dcterms:created>
  <dcterms:modified xsi:type="dcterms:W3CDTF">2014-02-05T07:08:00Z</dcterms:modified>
</cp:coreProperties>
</file>